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C9" w:rsidRPr="00EB29D3" w:rsidRDefault="000C52C9" w:rsidP="000C52C9">
      <w:pPr>
        <w:jc w:val="center"/>
        <w:rPr>
          <w:rFonts w:ascii="Comic Sans MS" w:hAnsi="Comic Sans MS"/>
          <w:b/>
          <w:sz w:val="48"/>
          <w:szCs w:val="48"/>
        </w:rPr>
      </w:pPr>
      <w:r w:rsidRPr="00EB29D3">
        <w:rPr>
          <w:rFonts w:ascii="Comic Sans MS" w:hAnsi="Comic Sans MS"/>
          <w:b/>
          <w:sz w:val="48"/>
          <w:szCs w:val="48"/>
        </w:rPr>
        <w:t>Synthèse</w:t>
      </w:r>
      <w:r w:rsidR="00A330D7" w:rsidRPr="00EB29D3">
        <w:rPr>
          <w:rFonts w:ascii="Comic Sans MS" w:hAnsi="Comic Sans MS"/>
          <w:b/>
          <w:sz w:val="48"/>
          <w:szCs w:val="48"/>
        </w:rPr>
        <w:t xml:space="preserve"> </w:t>
      </w:r>
    </w:p>
    <w:p w:rsidR="0045057C" w:rsidRDefault="004444DB" w:rsidP="00EB29D3">
      <w:pPr>
        <w:jc w:val="center"/>
        <w:rPr>
          <w:rFonts w:ascii="Comic Sans MS" w:hAnsi="Comic Sans MS"/>
          <w:b/>
          <w:sz w:val="48"/>
          <w:szCs w:val="48"/>
        </w:rPr>
      </w:pPr>
      <w:r>
        <w:rPr>
          <w:rFonts w:ascii="Comic Sans MS" w:hAnsi="Comic Sans MS"/>
          <w:b/>
          <w:sz w:val="48"/>
          <w:szCs w:val="48"/>
        </w:rPr>
        <w:t>Les femmes dans la société française</w:t>
      </w:r>
    </w:p>
    <w:p w:rsidR="00EB29D3" w:rsidRPr="00EB29D3" w:rsidRDefault="00EB29D3" w:rsidP="00EB29D3">
      <w:pPr>
        <w:jc w:val="center"/>
        <w:rPr>
          <w:rFonts w:ascii="Comic Sans MS" w:hAnsi="Comic Sans MS"/>
          <w:b/>
          <w:sz w:val="48"/>
          <w:szCs w:val="48"/>
        </w:rPr>
      </w:pPr>
    </w:p>
    <w:p w:rsidR="004444DB" w:rsidRPr="004444DB" w:rsidRDefault="004444DB" w:rsidP="004444DB">
      <w:pPr>
        <w:spacing w:before="150" w:after="150" w:line="240" w:lineRule="atLeast"/>
        <w:outlineLvl w:val="2"/>
        <w:rPr>
          <w:rFonts w:ascii="Comic Sans MS" w:hAnsi="Comic Sans MS" w:cs="Arial"/>
          <w:b/>
          <w:bCs/>
        </w:rPr>
      </w:pPr>
      <w:r w:rsidRPr="004444DB">
        <w:rPr>
          <w:rFonts w:ascii="Comic Sans MS" w:hAnsi="Comic Sans MS" w:cs="Arial"/>
          <w:b/>
          <w:bCs/>
        </w:rPr>
        <w:t>Chronologie</w:t>
      </w:r>
    </w:p>
    <w:p w:rsidR="004444DB" w:rsidRPr="000E0420" w:rsidRDefault="004444DB" w:rsidP="00C23F6D">
      <w:pPr>
        <w:numPr>
          <w:ilvl w:val="0"/>
          <w:numId w:val="5"/>
        </w:numPr>
        <w:spacing w:before="100" w:beforeAutospacing="1" w:after="100" w:afterAutospacing="1" w:line="336" w:lineRule="atLeast"/>
        <w:jc w:val="both"/>
        <w:rPr>
          <w:rFonts w:ascii="Comic Sans MS" w:hAnsi="Comic Sans MS" w:cs="Arial"/>
          <w:sz w:val="22"/>
          <w:szCs w:val="22"/>
          <w:highlight w:val="yellow"/>
        </w:rPr>
      </w:pPr>
      <w:r w:rsidRPr="000E0420">
        <w:rPr>
          <w:rFonts w:ascii="Comic Sans MS" w:hAnsi="Comic Sans MS" w:cs="Arial"/>
          <w:b/>
          <w:bCs/>
          <w:sz w:val="22"/>
          <w:szCs w:val="22"/>
          <w:highlight w:val="yellow"/>
        </w:rPr>
        <w:t>1944</w:t>
      </w:r>
      <w:r w:rsidRPr="000E0420">
        <w:rPr>
          <w:rFonts w:ascii="Comic Sans MS" w:hAnsi="Comic Sans MS" w:cs="Arial"/>
          <w:sz w:val="22"/>
          <w:szCs w:val="22"/>
          <w:highlight w:val="yellow"/>
        </w:rPr>
        <w:t xml:space="preserve"> : Droit de vote des femmes</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1947</w:t>
      </w:r>
      <w:r w:rsidRPr="004444DB">
        <w:rPr>
          <w:rFonts w:ascii="Comic Sans MS" w:hAnsi="Comic Sans MS" w:cs="Arial"/>
          <w:sz w:val="22"/>
          <w:szCs w:val="22"/>
        </w:rPr>
        <w:t xml:space="preserve"> : Germaine </w:t>
      </w:r>
      <w:proofErr w:type="spellStart"/>
      <w:r w:rsidRPr="004444DB">
        <w:rPr>
          <w:rFonts w:ascii="Comic Sans MS" w:hAnsi="Comic Sans MS" w:cs="Arial"/>
          <w:sz w:val="22"/>
          <w:szCs w:val="22"/>
        </w:rPr>
        <w:t>Poinso</w:t>
      </w:r>
      <w:proofErr w:type="spellEnd"/>
      <w:r w:rsidRPr="004444DB">
        <w:rPr>
          <w:rFonts w:ascii="Comic Sans MS" w:hAnsi="Comic Sans MS" w:cs="Arial"/>
          <w:sz w:val="22"/>
          <w:szCs w:val="22"/>
        </w:rPr>
        <w:t>-Chapuis est la première femme nommée ministre</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1965</w:t>
      </w:r>
      <w:r w:rsidRPr="004444DB">
        <w:rPr>
          <w:rFonts w:ascii="Comic Sans MS" w:hAnsi="Comic Sans MS" w:cs="Arial"/>
          <w:sz w:val="22"/>
          <w:szCs w:val="22"/>
        </w:rPr>
        <w:t xml:space="preserve"> : L'épouse peut exercer une activité professionnelle sans l'autorisation de son mari</w:t>
      </w:r>
    </w:p>
    <w:p w:rsidR="004444DB" w:rsidRPr="000E0420" w:rsidRDefault="004444DB" w:rsidP="00C23F6D">
      <w:pPr>
        <w:numPr>
          <w:ilvl w:val="0"/>
          <w:numId w:val="5"/>
        </w:numPr>
        <w:spacing w:before="100" w:beforeAutospacing="1" w:after="100" w:afterAutospacing="1" w:line="336" w:lineRule="atLeast"/>
        <w:jc w:val="both"/>
        <w:rPr>
          <w:rFonts w:ascii="Comic Sans MS" w:hAnsi="Comic Sans MS" w:cs="Arial"/>
          <w:sz w:val="22"/>
          <w:szCs w:val="22"/>
          <w:highlight w:val="yellow"/>
        </w:rPr>
      </w:pPr>
      <w:r w:rsidRPr="000E0420">
        <w:rPr>
          <w:rFonts w:ascii="Comic Sans MS" w:hAnsi="Comic Sans MS" w:cs="Arial"/>
          <w:b/>
          <w:bCs/>
          <w:sz w:val="22"/>
          <w:szCs w:val="22"/>
          <w:highlight w:val="yellow"/>
        </w:rPr>
        <w:t>1967</w:t>
      </w:r>
      <w:r w:rsidRPr="000E0420">
        <w:rPr>
          <w:rFonts w:ascii="Comic Sans MS" w:hAnsi="Comic Sans MS" w:cs="Arial"/>
          <w:sz w:val="22"/>
          <w:szCs w:val="22"/>
          <w:highlight w:val="yellow"/>
        </w:rPr>
        <w:t xml:space="preserve"> : La loi </w:t>
      </w:r>
      <w:proofErr w:type="spellStart"/>
      <w:r w:rsidRPr="000E0420">
        <w:rPr>
          <w:rFonts w:ascii="Comic Sans MS" w:hAnsi="Comic Sans MS" w:cs="Arial"/>
          <w:sz w:val="22"/>
          <w:szCs w:val="22"/>
          <w:highlight w:val="yellow"/>
        </w:rPr>
        <w:t>Neuwirth</w:t>
      </w:r>
      <w:proofErr w:type="spellEnd"/>
      <w:r w:rsidRPr="000E0420">
        <w:rPr>
          <w:rFonts w:ascii="Comic Sans MS" w:hAnsi="Comic Sans MS" w:cs="Arial"/>
          <w:sz w:val="22"/>
          <w:szCs w:val="22"/>
          <w:highlight w:val="yellow"/>
        </w:rPr>
        <w:t xml:space="preserve"> autorise la contraception</w:t>
      </w:r>
    </w:p>
    <w:p w:rsidR="004444DB" w:rsidRPr="000E0420" w:rsidRDefault="004444DB" w:rsidP="00C23F6D">
      <w:pPr>
        <w:numPr>
          <w:ilvl w:val="0"/>
          <w:numId w:val="5"/>
        </w:numPr>
        <w:spacing w:before="100" w:beforeAutospacing="1" w:after="100" w:afterAutospacing="1" w:line="336" w:lineRule="atLeast"/>
        <w:jc w:val="both"/>
        <w:rPr>
          <w:rFonts w:ascii="Comic Sans MS" w:hAnsi="Comic Sans MS" w:cs="Arial"/>
          <w:sz w:val="22"/>
          <w:szCs w:val="22"/>
          <w:highlight w:val="yellow"/>
        </w:rPr>
      </w:pPr>
      <w:r w:rsidRPr="000E0420">
        <w:rPr>
          <w:rFonts w:ascii="Comic Sans MS" w:hAnsi="Comic Sans MS" w:cs="Arial"/>
          <w:b/>
          <w:bCs/>
          <w:sz w:val="22"/>
          <w:szCs w:val="22"/>
          <w:highlight w:val="yellow"/>
        </w:rPr>
        <w:t>1970</w:t>
      </w:r>
      <w:r w:rsidRPr="000E0420">
        <w:rPr>
          <w:rFonts w:ascii="Comic Sans MS" w:hAnsi="Comic Sans MS" w:cs="Arial"/>
          <w:sz w:val="22"/>
          <w:szCs w:val="22"/>
          <w:highlight w:val="yellow"/>
        </w:rPr>
        <w:t xml:space="preserve"> : Autorité parentale partagée</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1971</w:t>
      </w:r>
      <w:r w:rsidRPr="004444DB">
        <w:rPr>
          <w:rFonts w:ascii="Comic Sans MS" w:hAnsi="Comic Sans MS" w:cs="Arial"/>
          <w:sz w:val="22"/>
          <w:szCs w:val="22"/>
        </w:rPr>
        <w:t xml:space="preserve"> : "Le Nouvel Observateur" publie le manifeste de 343 femmes déclarant avoir subi un avortement</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1972</w:t>
      </w:r>
      <w:r w:rsidRPr="004444DB">
        <w:rPr>
          <w:rFonts w:ascii="Comic Sans MS" w:hAnsi="Comic Sans MS" w:cs="Arial"/>
          <w:sz w:val="22"/>
          <w:szCs w:val="22"/>
        </w:rPr>
        <w:t xml:space="preserve"> : Loi posant le principe de l'égalité des salaires</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1974</w:t>
      </w:r>
      <w:r w:rsidRPr="004444DB">
        <w:rPr>
          <w:rFonts w:ascii="Comic Sans MS" w:hAnsi="Comic Sans MS" w:cs="Arial"/>
          <w:sz w:val="22"/>
          <w:szCs w:val="22"/>
        </w:rPr>
        <w:t xml:space="preserve"> : Création d'un secrétariat d'Etat à la condition féminine, confié à la journaliste Françoise Giroud</w:t>
      </w:r>
    </w:p>
    <w:p w:rsidR="004444DB" w:rsidRPr="000E0420" w:rsidRDefault="004444DB" w:rsidP="00C23F6D">
      <w:pPr>
        <w:numPr>
          <w:ilvl w:val="0"/>
          <w:numId w:val="5"/>
        </w:numPr>
        <w:spacing w:before="100" w:beforeAutospacing="1" w:after="100" w:afterAutospacing="1" w:line="336" w:lineRule="atLeast"/>
        <w:jc w:val="both"/>
        <w:rPr>
          <w:rFonts w:ascii="Comic Sans MS" w:hAnsi="Comic Sans MS" w:cs="Arial"/>
          <w:sz w:val="22"/>
          <w:szCs w:val="22"/>
          <w:highlight w:val="yellow"/>
        </w:rPr>
      </w:pPr>
      <w:r w:rsidRPr="000E0420">
        <w:rPr>
          <w:rFonts w:ascii="Comic Sans MS" w:hAnsi="Comic Sans MS" w:cs="Arial"/>
          <w:b/>
          <w:bCs/>
          <w:sz w:val="22"/>
          <w:szCs w:val="22"/>
          <w:highlight w:val="yellow"/>
        </w:rPr>
        <w:t>1975</w:t>
      </w:r>
      <w:r w:rsidRPr="000E0420">
        <w:rPr>
          <w:rFonts w:ascii="Comic Sans MS" w:hAnsi="Comic Sans MS" w:cs="Arial"/>
          <w:sz w:val="22"/>
          <w:szCs w:val="22"/>
          <w:highlight w:val="yellow"/>
        </w:rPr>
        <w:t xml:space="preserve"> : Loi Veil sur la légalisation de l'IVG. Instauration du divorce par consentement mutuel.</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bookmarkStart w:id="0" w:name="_GoBack"/>
      <w:bookmarkEnd w:id="0"/>
      <w:r w:rsidRPr="004444DB">
        <w:rPr>
          <w:rFonts w:ascii="Comic Sans MS" w:hAnsi="Comic Sans MS" w:cs="Arial"/>
          <w:b/>
          <w:bCs/>
          <w:sz w:val="22"/>
          <w:szCs w:val="22"/>
        </w:rPr>
        <w:t>1981</w:t>
      </w:r>
      <w:r w:rsidRPr="004444DB">
        <w:rPr>
          <w:rFonts w:ascii="Comic Sans MS" w:hAnsi="Comic Sans MS" w:cs="Arial"/>
          <w:sz w:val="22"/>
          <w:szCs w:val="22"/>
        </w:rPr>
        <w:t xml:space="preserve"> : Création du ministère des droits de la femme</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1983</w:t>
      </w:r>
      <w:r w:rsidRPr="004444DB">
        <w:rPr>
          <w:rFonts w:ascii="Comic Sans MS" w:hAnsi="Comic Sans MS" w:cs="Arial"/>
          <w:sz w:val="22"/>
          <w:szCs w:val="22"/>
        </w:rPr>
        <w:t xml:space="preserve"> : Loi </w:t>
      </w:r>
      <w:proofErr w:type="spellStart"/>
      <w:r w:rsidRPr="004444DB">
        <w:rPr>
          <w:rFonts w:ascii="Comic Sans MS" w:hAnsi="Comic Sans MS" w:cs="Arial"/>
          <w:sz w:val="22"/>
          <w:szCs w:val="22"/>
        </w:rPr>
        <w:t>Roudy</w:t>
      </w:r>
      <w:proofErr w:type="spellEnd"/>
      <w:r w:rsidRPr="004444DB">
        <w:rPr>
          <w:rFonts w:ascii="Comic Sans MS" w:hAnsi="Comic Sans MS" w:cs="Arial"/>
          <w:sz w:val="22"/>
          <w:szCs w:val="22"/>
        </w:rPr>
        <w:t xml:space="preserve"> sur l'égalité professionnelle entre hommes et femmes</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1991</w:t>
      </w:r>
      <w:r w:rsidRPr="004444DB">
        <w:rPr>
          <w:rFonts w:ascii="Comic Sans MS" w:hAnsi="Comic Sans MS" w:cs="Arial"/>
          <w:sz w:val="22"/>
          <w:szCs w:val="22"/>
        </w:rPr>
        <w:t xml:space="preserve"> : Edith Cresson, première femme Premier ministre</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1992</w:t>
      </w:r>
      <w:r w:rsidRPr="004444DB">
        <w:rPr>
          <w:rFonts w:ascii="Comic Sans MS" w:hAnsi="Comic Sans MS" w:cs="Arial"/>
          <w:sz w:val="22"/>
          <w:szCs w:val="22"/>
        </w:rPr>
        <w:t xml:space="preserve"> : Loi créant le délit de harcèlement sexuel dans les relations de travail</w:t>
      </w:r>
    </w:p>
    <w:p w:rsidR="004444DB" w:rsidRPr="004444DB" w:rsidRDefault="004444DB" w:rsidP="00C23F6D">
      <w:pPr>
        <w:numPr>
          <w:ilvl w:val="0"/>
          <w:numId w:val="5"/>
        </w:numPr>
        <w:spacing w:before="100" w:beforeAutospacing="1" w:after="100" w:afterAutospacing="1" w:line="336" w:lineRule="atLeast"/>
        <w:jc w:val="both"/>
        <w:rPr>
          <w:rFonts w:ascii="Comic Sans MS" w:hAnsi="Comic Sans MS" w:cs="Arial"/>
          <w:sz w:val="22"/>
          <w:szCs w:val="22"/>
        </w:rPr>
      </w:pPr>
      <w:r w:rsidRPr="004444DB">
        <w:rPr>
          <w:rFonts w:ascii="Comic Sans MS" w:hAnsi="Comic Sans MS" w:cs="Arial"/>
          <w:b/>
          <w:bCs/>
          <w:sz w:val="22"/>
          <w:szCs w:val="22"/>
        </w:rPr>
        <w:t>2000</w:t>
      </w:r>
      <w:r w:rsidRPr="004444DB">
        <w:rPr>
          <w:rFonts w:ascii="Comic Sans MS" w:hAnsi="Comic Sans MS" w:cs="Arial"/>
          <w:sz w:val="22"/>
          <w:szCs w:val="22"/>
        </w:rPr>
        <w:t xml:space="preserve"> : Loi sur l'égal accès des femmes et des hommes aux mandats électoraux et aux fonctions électives</w:t>
      </w:r>
    </w:p>
    <w:p w:rsidR="00C86E4F" w:rsidRDefault="00C86E4F" w:rsidP="004444DB">
      <w:pPr>
        <w:spacing w:before="150" w:after="150" w:line="240" w:lineRule="atLeast"/>
        <w:outlineLvl w:val="2"/>
        <w:rPr>
          <w:rFonts w:ascii="Comic Sans MS" w:hAnsi="Comic Sans MS" w:cs="Arial"/>
          <w:b/>
          <w:bCs/>
        </w:rPr>
      </w:pPr>
    </w:p>
    <w:p w:rsidR="004444DB" w:rsidRPr="004444DB" w:rsidRDefault="004444DB" w:rsidP="004444DB">
      <w:pPr>
        <w:spacing w:before="150" w:after="150" w:line="240" w:lineRule="atLeast"/>
        <w:outlineLvl w:val="2"/>
        <w:rPr>
          <w:rFonts w:ascii="Comic Sans MS" w:hAnsi="Comic Sans MS" w:cs="Arial"/>
          <w:b/>
          <w:bCs/>
        </w:rPr>
      </w:pPr>
      <w:r w:rsidRPr="004444DB">
        <w:rPr>
          <w:rFonts w:ascii="Comic Sans MS" w:hAnsi="Comic Sans MS" w:cs="Arial"/>
          <w:b/>
          <w:bCs/>
        </w:rPr>
        <w:t>La marche des femmes françaises vers l'égalité</w:t>
      </w:r>
    </w:p>
    <w:p w:rsidR="004444DB" w:rsidRPr="004444DB" w:rsidRDefault="004444DB" w:rsidP="004444DB">
      <w:pPr>
        <w:jc w:val="both"/>
        <w:rPr>
          <w:rFonts w:ascii="Comic Sans MS" w:hAnsi="Comic Sans MS"/>
          <w:sz w:val="22"/>
          <w:szCs w:val="22"/>
        </w:rPr>
      </w:pPr>
      <w:r w:rsidRPr="004444DB">
        <w:rPr>
          <w:rFonts w:ascii="Comic Sans MS" w:hAnsi="Comic Sans MS"/>
          <w:sz w:val="22"/>
          <w:szCs w:val="22"/>
        </w:rPr>
        <w:t xml:space="preserve">L'histoire de la marche des femmes vers l'égalité, en France et plus largement en Occident, peut être ramenée à quelques grands mouvements successifs. Dans un premier temps, les femmes se sont battues pour obtenir la citoyenneté, à travers </w:t>
      </w:r>
      <w:r w:rsidRPr="00D245F7">
        <w:rPr>
          <w:rFonts w:ascii="Comic Sans MS" w:hAnsi="Comic Sans MS"/>
          <w:sz w:val="22"/>
          <w:szCs w:val="22"/>
          <w:highlight w:val="yellow"/>
        </w:rPr>
        <w:t>la conquête du droit de vote, obtenu seulement en 1944 en France</w:t>
      </w:r>
      <w:r w:rsidRPr="004444DB">
        <w:rPr>
          <w:rFonts w:ascii="Comic Sans MS" w:hAnsi="Comic Sans MS"/>
          <w:sz w:val="22"/>
          <w:szCs w:val="22"/>
        </w:rPr>
        <w:t xml:space="preserve">. Après avoir conquis ce droit primordial, de nouvelles luttes émergent, notamment </w:t>
      </w:r>
      <w:r w:rsidRPr="00D245F7">
        <w:rPr>
          <w:rFonts w:ascii="Comic Sans MS" w:hAnsi="Comic Sans MS"/>
          <w:sz w:val="22"/>
          <w:szCs w:val="22"/>
          <w:highlight w:val="yellow"/>
        </w:rPr>
        <w:t>pour l'égalité devant le travail</w:t>
      </w:r>
      <w:r w:rsidRPr="004444DB">
        <w:rPr>
          <w:rFonts w:ascii="Comic Sans MS" w:hAnsi="Comic Sans MS"/>
          <w:sz w:val="22"/>
          <w:szCs w:val="22"/>
        </w:rPr>
        <w:t xml:space="preserve">. Ensuite, en France comme dans toutes les grandes démocraties, la fin des années 60 et les années 70 voient le développement de nouvelles revendications féministes, liées au </w:t>
      </w:r>
      <w:r w:rsidRPr="00D245F7">
        <w:rPr>
          <w:rFonts w:ascii="Comic Sans MS" w:hAnsi="Comic Sans MS"/>
          <w:sz w:val="22"/>
          <w:szCs w:val="22"/>
          <w:highlight w:val="yellow"/>
        </w:rPr>
        <w:t>droit des femmes à disposer de leur corps</w:t>
      </w:r>
      <w:r w:rsidRPr="004444DB">
        <w:rPr>
          <w:rFonts w:ascii="Comic Sans MS" w:hAnsi="Comic Sans MS"/>
          <w:sz w:val="22"/>
          <w:szCs w:val="22"/>
        </w:rPr>
        <w:t xml:space="preserve">. Puis, dans les années 2000, c'est l'idée de la </w:t>
      </w:r>
      <w:r w:rsidRPr="00D245F7">
        <w:rPr>
          <w:rFonts w:ascii="Comic Sans MS" w:hAnsi="Comic Sans MS"/>
          <w:sz w:val="22"/>
          <w:szCs w:val="22"/>
          <w:highlight w:val="yellow"/>
        </w:rPr>
        <w:t>parité en politique</w:t>
      </w:r>
      <w:r w:rsidRPr="004444DB">
        <w:rPr>
          <w:rFonts w:ascii="Comic Sans MS" w:hAnsi="Comic Sans MS"/>
          <w:sz w:val="22"/>
          <w:szCs w:val="22"/>
        </w:rPr>
        <w:t xml:space="preserve"> qui est au centre du débat public. Aujourd'hui, l'idée d'une égalité de chances et de droits pour les deux sexes a fait son chemin, même si dans la réalité cette égalité est loin d'être acquise.</w:t>
      </w:r>
    </w:p>
    <w:p w:rsidR="004444DB" w:rsidRPr="00C86E4F" w:rsidRDefault="004444DB" w:rsidP="00C86E4F">
      <w:pPr>
        <w:spacing w:before="150" w:after="150" w:line="240" w:lineRule="atLeast"/>
        <w:outlineLvl w:val="2"/>
        <w:rPr>
          <w:rFonts w:ascii="Comic Sans MS" w:hAnsi="Comic Sans MS" w:cs="Arial"/>
          <w:b/>
          <w:bCs/>
        </w:rPr>
      </w:pPr>
      <w:r w:rsidRPr="00C86E4F">
        <w:rPr>
          <w:rFonts w:ascii="Comic Sans MS" w:hAnsi="Comic Sans MS" w:cs="Arial"/>
          <w:b/>
          <w:bCs/>
        </w:rPr>
        <w:lastRenderedPageBreak/>
        <w:t>1944 : la conquête tardive du droit de vote</w:t>
      </w:r>
    </w:p>
    <w:p w:rsidR="000C52C9" w:rsidRPr="00C86E4F" w:rsidRDefault="004444DB" w:rsidP="00C86E4F">
      <w:pPr>
        <w:jc w:val="both"/>
        <w:rPr>
          <w:rFonts w:ascii="Comic Sans MS" w:hAnsi="Comic Sans MS"/>
          <w:sz w:val="22"/>
          <w:szCs w:val="22"/>
        </w:rPr>
      </w:pPr>
      <w:r w:rsidRPr="00C86E4F">
        <w:rPr>
          <w:rFonts w:ascii="Comic Sans MS" w:hAnsi="Comic Sans MS"/>
          <w:sz w:val="22"/>
          <w:szCs w:val="22"/>
        </w:rPr>
        <w:t>En France les femmes obtiennent le droit de vote par l'ordonnance du 21 avril 1944 ; elles exercent pour la première fois ce droit le 20 avril 1945, pour les élections municipales, et le 21 octobre 1</w:t>
      </w:r>
      <w:r w:rsidR="00D245F7">
        <w:rPr>
          <w:rFonts w:ascii="Comic Sans MS" w:hAnsi="Comic Sans MS"/>
          <w:sz w:val="22"/>
          <w:szCs w:val="22"/>
        </w:rPr>
        <w:t>945 pour une élection nationale</w:t>
      </w:r>
      <w:r w:rsidRPr="00C86E4F">
        <w:rPr>
          <w:rFonts w:ascii="Comic Sans MS" w:hAnsi="Comic Sans MS"/>
          <w:sz w:val="22"/>
          <w:szCs w:val="22"/>
        </w:rPr>
        <w:t xml:space="preserve">. </w:t>
      </w:r>
      <w:r w:rsidRPr="00A3716B">
        <w:rPr>
          <w:rFonts w:ascii="Comic Sans MS" w:hAnsi="Comic Sans MS"/>
          <w:sz w:val="22"/>
          <w:szCs w:val="22"/>
          <w:highlight w:val="yellow"/>
        </w:rPr>
        <w:t>Par rapport à d'autres pays d'Europe et aux Etats-Unis, les femmes françaises obtiennent le droit de vote tardivement (en Grande-Bretagne et en Allemagne en 1918, aux Etats-Unis en 1920, en Espagne en 1931)</w:t>
      </w:r>
      <w:r w:rsidRPr="00C86E4F">
        <w:rPr>
          <w:rFonts w:ascii="Comic Sans MS" w:hAnsi="Comic Sans MS"/>
          <w:sz w:val="22"/>
          <w:szCs w:val="22"/>
        </w:rPr>
        <w:t xml:space="preserve">. </w:t>
      </w:r>
      <w:r w:rsidR="00D245F7">
        <w:rPr>
          <w:rFonts w:ascii="Comic Sans MS" w:hAnsi="Comic Sans MS"/>
          <w:sz w:val="22"/>
          <w:szCs w:val="22"/>
        </w:rPr>
        <w:t>D</w:t>
      </w:r>
      <w:r w:rsidRPr="00C86E4F">
        <w:rPr>
          <w:rFonts w:ascii="Comic Sans MS" w:hAnsi="Comic Sans MS"/>
          <w:sz w:val="22"/>
          <w:szCs w:val="22"/>
        </w:rPr>
        <w:t xml:space="preserve">ans l'imaginaire politique républicain, la femme demeure sous l'influence du prêtre. Ainsi, le principe du droit de vote des femmes est rejeté plusieurs fois par le Sénat entre 1919 et 1935. La frilosité des parlementaires explique que le Front populaire, tout en ouvrant symboliquement son gouvernement aux femmes (Suzanne </w:t>
      </w:r>
      <w:proofErr w:type="spellStart"/>
      <w:r w:rsidRPr="00C86E4F">
        <w:rPr>
          <w:rFonts w:ascii="Comic Sans MS" w:hAnsi="Comic Sans MS"/>
          <w:sz w:val="22"/>
          <w:szCs w:val="22"/>
        </w:rPr>
        <w:t>Lacore</w:t>
      </w:r>
      <w:proofErr w:type="spellEnd"/>
      <w:r w:rsidRPr="00C86E4F">
        <w:rPr>
          <w:rFonts w:ascii="Comic Sans MS" w:hAnsi="Comic Sans MS"/>
          <w:sz w:val="22"/>
          <w:szCs w:val="22"/>
        </w:rPr>
        <w:t xml:space="preserve"> sous-secrétaire d'Etat à la protection de l'enfance, Ir</w:t>
      </w:r>
      <w:r w:rsidRPr="00C86E4F">
        <w:rPr>
          <w:rFonts w:ascii="Comic Sans MS" w:hAnsi="Comic Sans MS" w:hint="eastAsia"/>
          <w:sz w:val="22"/>
          <w:szCs w:val="22"/>
        </w:rPr>
        <w:t>è</w:t>
      </w:r>
      <w:r w:rsidRPr="00C86E4F">
        <w:rPr>
          <w:rFonts w:ascii="Comic Sans MS" w:hAnsi="Comic Sans MS"/>
          <w:sz w:val="22"/>
          <w:szCs w:val="22"/>
        </w:rPr>
        <w:t>ne Joliot-Curie sous-secrétaire d'Etat à la Recherche scientifique, Cécile Brunschvicg sous-secrétaire d'Etat à l'Education nationale), n'ait pas jugé nécessaire de faire une nouvelle tentative. Cette faiblesse sur le plan politique est d'autant plus frappante qu'on trouve de plus en plus de femmes sur le marché du travail ; à la différence de l'Angleterre par exemple, pays où les femmes votent dès 1918, le travail féminin est un phénomène massif en France : 35% de la population active, contre environ 28% en Angleterre durant l'entre-deux-guerres. En France, la moitié des femmes mariées exercent un travail salarié. Cette particularité s'explique par le poids de l'activité agricole qui représente près de la moitié du travail féminin. Or, à la différence du travail industriel, où les ouvriers s'organisent collectivement, l'activité agricole des femmes les laisse trop isolées pour favoriser l'émergence de fortes revendications.</w:t>
      </w:r>
    </w:p>
    <w:p w:rsidR="002C38E0" w:rsidRDefault="002C38E0" w:rsidP="002C38E0">
      <w:pPr>
        <w:spacing w:before="150" w:after="150" w:line="240" w:lineRule="atLeast"/>
        <w:outlineLvl w:val="2"/>
        <w:rPr>
          <w:rFonts w:ascii="Comic Sans MS" w:hAnsi="Comic Sans MS" w:cs="Arial"/>
          <w:b/>
          <w:bCs/>
        </w:rPr>
      </w:pPr>
    </w:p>
    <w:p w:rsidR="002C38E0" w:rsidRPr="002C38E0" w:rsidRDefault="002C38E0" w:rsidP="002C38E0">
      <w:pPr>
        <w:spacing w:before="150" w:after="150" w:line="240" w:lineRule="atLeast"/>
        <w:outlineLvl w:val="2"/>
        <w:rPr>
          <w:rFonts w:ascii="Comic Sans MS" w:hAnsi="Comic Sans MS" w:cs="Arial"/>
          <w:b/>
          <w:bCs/>
        </w:rPr>
      </w:pPr>
      <w:r w:rsidRPr="002C38E0">
        <w:rPr>
          <w:rFonts w:ascii="Comic Sans MS" w:hAnsi="Comic Sans MS" w:cs="Arial"/>
          <w:b/>
          <w:bCs/>
        </w:rPr>
        <w:t>Années 50-60 : les femmes investissent le marché du travail</w:t>
      </w:r>
    </w:p>
    <w:p w:rsidR="002C38E0" w:rsidRPr="002C38E0" w:rsidRDefault="002C38E0" w:rsidP="002C38E0">
      <w:pPr>
        <w:spacing w:before="100" w:beforeAutospacing="1" w:after="100" w:afterAutospacing="1" w:line="336" w:lineRule="atLeast"/>
        <w:jc w:val="both"/>
        <w:rPr>
          <w:rFonts w:ascii="Comic Sans MS" w:hAnsi="Comic Sans MS"/>
          <w:sz w:val="22"/>
          <w:szCs w:val="22"/>
        </w:rPr>
      </w:pPr>
      <w:r w:rsidRPr="002C38E0">
        <w:rPr>
          <w:rFonts w:ascii="Comic Sans MS" w:hAnsi="Comic Sans MS"/>
          <w:sz w:val="22"/>
          <w:szCs w:val="22"/>
        </w:rPr>
        <w:t>L'après-guerre s'accompagne de profonds changements qui modifient la place des femmes dans les société</w:t>
      </w:r>
      <w:r w:rsidR="00C23F6D">
        <w:rPr>
          <w:rFonts w:ascii="Comic Sans MS" w:hAnsi="Comic Sans MS"/>
          <w:sz w:val="22"/>
          <w:szCs w:val="22"/>
        </w:rPr>
        <w:t>s</w:t>
      </w:r>
      <w:r w:rsidRPr="002C38E0">
        <w:rPr>
          <w:rFonts w:ascii="Comic Sans MS" w:hAnsi="Comic Sans MS"/>
          <w:sz w:val="22"/>
          <w:szCs w:val="22"/>
        </w:rPr>
        <w:t xml:space="preserve"> européennes. </w:t>
      </w:r>
      <w:r w:rsidRPr="002C38E0">
        <w:rPr>
          <w:rFonts w:ascii="Comic Sans MS" w:hAnsi="Comic Sans MS"/>
          <w:sz w:val="22"/>
          <w:szCs w:val="22"/>
          <w:highlight w:val="yellow"/>
        </w:rPr>
        <w:t>L'explosion du travail salarié</w:t>
      </w:r>
      <w:r w:rsidRPr="002C38E0">
        <w:rPr>
          <w:rFonts w:ascii="Comic Sans MS" w:hAnsi="Comic Sans MS"/>
          <w:sz w:val="22"/>
          <w:szCs w:val="22"/>
        </w:rPr>
        <w:t xml:space="preserve"> et </w:t>
      </w:r>
      <w:r w:rsidRPr="002C38E0">
        <w:rPr>
          <w:rFonts w:ascii="Comic Sans MS" w:hAnsi="Comic Sans MS"/>
          <w:sz w:val="22"/>
          <w:szCs w:val="22"/>
          <w:highlight w:val="yellow"/>
        </w:rPr>
        <w:t>la tertiarisation de l'économie</w:t>
      </w:r>
      <w:r w:rsidRPr="002C38E0">
        <w:rPr>
          <w:rFonts w:ascii="Comic Sans MS" w:hAnsi="Comic Sans MS"/>
          <w:sz w:val="22"/>
          <w:szCs w:val="22"/>
        </w:rPr>
        <w:t xml:space="preserve"> concernent en premier lieu les femmes ; le nombre des femmes travaillant dans l'agriculture et l'artisanat passe de 41% en 1946 à 8.6% en 1975. </w:t>
      </w:r>
      <w:r w:rsidRPr="002C38E0">
        <w:rPr>
          <w:rFonts w:ascii="Comic Sans MS" w:hAnsi="Comic Sans MS"/>
          <w:sz w:val="22"/>
          <w:szCs w:val="22"/>
          <w:highlight w:val="yellow"/>
        </w:rPr>
        <w:t xml:space="preserve">Les besoins de </w:t>
      </w:r>
      <w:r w:rsidR="00C23F6D" w:rsidRPr="00D245F7">
        <w:rPr>
          <w:rFonts w:ascii="Comic Sans MS" w:hAnsi="Comic Sans MS"/>
          <w:sz w:val="22"/>
          <w:szCs w:val="22"/>
          <w:highlight w:val="yellow"/>
        </w:rPr>
        <w:t>main-d’œuvre</w:t>
      </w:r>
      <w:r w:rsidRPr="002C38E0">
        <w:rPr>
          <w:rFonts w:ascii="Comic Sans MS" w:hAnsi="Comic Sans MS"/>
          <w:sz w:val="22"/>
          <w:szCs w:val="22"/>
          <w:highlight w:val="yellow"/>
        </w:rPr>
        <w:t xml:space="preserve"> massifs</w:t>
      </w:r>
      <w:r w:rsidRPr="002C38E0">
        <w:rPr>
          <w:rFonts w:ascii="Comic Sans MS" w:hAnsi="Comic Sans MS"/>
          <w:sz w:val="22"/>
          <w:szCs w:val="22"/>
        </w:rPr>
        <w:t xml:space="preserve"> expliquent l'extension du travail des femmes mariées. Dans le même temps, cette mutation du travail féminin est rendue possible par </w:t>
      </w:r>
      <w:r w:rsidRPr="002C38E0">
        <w:rPr>
          <w:rFonts w:ascii="Comic Sans MS" w:hAnsi="Comic Sans MS"/>
          <w:sz w:val="22"/>
          <w:szCs w:val="22"/>
          <w:highlight w:val="yellow"/>
        </w:rPr>
        <w:t>une scolarisation accrue</w:t>
      </w:r>
      <w:r w:rsidRPr="002C38E0">
        <w:rPr>
          <w:rFonts w:ascii="Comic Sans MS" w:hAnsi="Comic Sans MS"/>
          <w:sz w:val="22"/>
          <w:szCs w:val="22"/>
        </w:rPr>
        <w:t xml:space="preserve"> : en 1964, pour la première fois, le nombre de bachelières est supérieur à celui des bacheliers. Toutefois, l'accès massif des femmes, tant à l'enseignement qu'au monde du travail, ne signifie pas l'harmonisation des conditions : à l'école, l'accès des femmes aux diplômes se traduit souvent par leur </w:t>
      </w:r>
      <w:r w:rsidRPr="002C38E0">
        <w:rPr>
          <w:rFonts w:ascii="Comic Sans MS" w:hAnsi="Comic Sans MS"/>
          <w:sz w:val="22"/>
          <w:szCs w:val="22"/>
          <w:highlight w:val="yellow"/>
        </w:rPr>
        <w:t>dévalorisation, tandis que se mettent en place des filières spécialisées.</w:t>
      </w:r>
      <w:r w:rsidRPr="002C38E0">
        <w:rPr>
          <w:rFonts w:ascii="Comic Sans MS" w:hAnsi="Comic Sans MS"/>
          <w:sz w:val="22"/>
          <w:szCs w:val="22"/>
        </w:rPr>
        <w:t xml:space="preserve"> Dans le monde du travail, les femmes occupent souvent des postes de moindre responsabilité, et l'on observe le maintien d'une forte discrimination salariale. Le retour des difficultés économiques fait que les femmes sont les principales victimes du travail précaire et du travail à temps partiel, parfois présenté comme une " chance " pour l'épanouissement de la vie familiale... </w:t>
      </w:r>
    </w:p>
    <w:p w:rsidR="00D245F7" w:rsidRDefault="00D245F7" w:rsidP="00B6562B">
      <w:pPr>
        <w:spacing w:before="150" w:after="150" w:line="240" w:lineRule="atLeast"/>
        <w:outlineLvl w:val="2"/>
        <w:rPr>
          <w:rFonts w:ascii="Comic Sans MS" w:hAnsi="Comic Sans MS" w:cs="Arial"/>
          <w:b/>
          <w:bCs/>
        </w:rPr>
      </w:pPr>
    </w:p>
    <w:p w:rsidR="00B6562B" w:rsidRPr="00B6562B" w:rsidRDefault="00B6562B" w:rsidP="00B6562B">
      <w:pPr>
        <w:spacing w:before="150" w:after="150" w:line="240" w:lineRule="atLeast"/>
        <w:outlineLvl w:val="2"/>
        <w:rPr>
          <w:rFonts w:ascii="Comic Sans MS" w:hAnsi="Comic Sans MS" w:cs="Arial"/>
          <w:b/>
          <w:bCs/>
        </w:rPr>
      </w:pPr>
      <w:r w:rsidRPr="00B6562B">
        <w:rPr>
          <w:rFonts w:ascii="Comic Sans MS" w:hAnsi="Comic Sans MS" w:cs="Arial"/>
          <w:b/>
          <w:bCs/>
        </w:rPr>
        <w:lastRenderedPageBreak/>
        <w:t>Années 60-70 : le renouveau du féminisme</w:t>
      </w:r>
    </w:p>
    <w:p w:rsidR="00B6562B" w:rsidRPr="00B6562B" w:rsidRDefault="00B6562B" w:rsidP="00B6562B">
      <w:pPr>
        <w:spacing w:before="100" w:beforeAutospacing="1" w:after="100" w:afterAutospacing="1" w:line="336" w:lineRule="atLeast"/>
        <w:jc w:val="both"/>
        <w:rPr>
          <w:rFonts w:ascii="Comic Sans MS" w:hAnsi="Comic Sans MS"/>
          <w:sz w:val="22"/>
          <w:szCs w:val="22"/>
        </w:rPr>
      </w:pPr>
      <w:r w:rsidRPr="00A3716B">
        <w:rPr>
          <w:rFonts w:ascii="Comic Sans MS" w:hAnsi="Comic Sans MS"/>
          <w:sz w:val="22"/>
          <w:szCs w:val="22"/>
          <w:highlight w:val="yellow"/>
        </w:rPr>
        <w:t>Cette résistance au changement de la société patriarcale va contribuer à façonner, parmi les femmes, de nouvelles formes d'action politique.</w:t>
      </w:r>
      <w:r w:rsidRPr="00B6562B">
        <w:rPr>
          <w:rFonts w:ascii="Comic Sans MS" w:hAnsi="Comic Sans MS"/>
          <w:sz w:val="22"/>
          <w:szCs w:val="22"/>
        </w:rPr>
        <w:t xml:space="preserve"> L'émergence du mouvement féministe à la fin des années soixante </w:t>
      </w:r>
      <w:proofErr w:type="gramStart"/>
      <w:r w:rsidRPr="00B6562B">
        <w:rPr>
          <w:rFonts w:ascii="Comic Sans MS" w:hAnsi="Comic Sans MS"/>
          <w:sz w:val="22"/>
          <w:szCs w:val="22"/>
        </w:rPr>
        <w:t>marque</w:t>
      </w:r>
      <w:proofErr w:type="gramEnd"/>
      <w:r w:rsidRPr="00B6562B">
        <w:rPr>
          <w:rFonts w:ascii="Comic Sans MS" w:hAnsi="Comic Sans MS"/>
          <w:sz w:val="22"/>
          <w:szCs w:val="22"/>
        </w:rPr>
        <w:t xml:space="preserve"> très nettement la naissance de nouvelles pratiques : en raison de la passivité des autorités politiques et sociales, les féministes mettent sur pied leurs propres organismes, pour assister les femmes battues ou pour promouvoir la contraception. Ces pratiques revendicatives autonomes révèlent parfois l'influence des théories séparatistes du féminisme américain, lequel insiste sur les nécessités d'une rupture dans tous les domaines, sur l'exaltation d'une différence radicale entre les sexes et sur la mise en place d'une contre-société féminine. Au bout du compte, ces nouvelles formes de mobilisation aboutissent à la levée des derniers obstacles juridiques, à l'égalité entre les sexes ainsi qu'à </w:t>
      </w:r>
      <w:r w:rsidRPr="00B6562B">
        <w:rPr>
          <w:rFonts w:ascii="Comic Sans MS" w:hAnsi="Comic Sans MS"/>
          <w:sz w:val="22"/>
          <w:szCs w:val="22"/>
          <w:highlight w:val="yellow"/>
        </w:rPr>
        <w:t>la légalisation de l'avortement</w:t>
      </w:r>
      <w:r w:rsidRPr="00B6562B">
        <w:rPr>
          <w:rFonts w:ascii="Comic Sans MS" w:hAnsi="Comic Sans MS"/>
          <w:sz w:val="22"/>
          <w:szCs w:val="22"/>
        </w:rPr>
        <w:t xml:space="preserve">. </w:t>
      </w:r>
    </w:p>
    <w:p w:rsidR="00E22FC8" w:rsidRPr="00E22FC8" w:rsidRDefault="00E22FC8" w:rsidP="00B461E2">
      <w:pPr>
        <w:spacing w:before="100" w:beforeAutospacing="1" w:after="100" w:afterAutospacing="1" w:line="336" w:lineRule="atLeast"/>
        <w:ind w:left="1134"/>
        <w:jc w:val="both"/>
        <w:rPr>
          <w:rFonts w:ascii="Comic Sans MS" w:hAnsi="Comic Sans MS" w:cs="Arial"/>
          <w:b/>
          <w:bCs/>
          <w:sz w:val="22"/>
          <w:szCs w:val="22"/>
        </w:rPr>
      </w:pPr>
      <w:r w:rsidRPr="00E22FC8">
        <w:rPr>
          <w:rFonts w:ascii="Comic Sans MS" w:hAnsi="Comic Sans MS" w:cs="Arial"/>
          <w:b/>
          <w:bCs/>
          <w:sz w:val="22"/>
          <w:szCs w:val="22"/>
        </w:rPr>
        <w:t>La conquête de l'égalité civile</w:t>
      </w:r>
    </w:p>
    <w:p w:rsidR="00E22FC8" w:rsidRPr="00E22FC8" w:rsidRDefault="00E22FC8" w:rsidP="00E22FC8">
      <w:pPr>
        <w:spacing w:before="100" w:beforeAutospacing="1" w:after="100" w:afterAutospacing="1" w:line="336" w:lineRule="atLeast"/>
        <w:jc w:val="both"/>
        <w:rPr>
          <w:rFonts w:ascii="Comic Sans MS" w:hAnsi="Comic Sans MS" w:cs="Arial"/>
          <w:sz w:val="22"/>
          <w:szCs w:val="22"/>
        </w:rPr>
      </w:pPr>
      <w:r w:rsidRPr="00E22FC8">
        <w:rPr>
          <w:rFonts w:ascii="Comic Sans MS" w:hAnsi="Comic Sans MS" w:cs="Arial"/>
          <w:sz w:val="22"/>
          <w:szCs w:val="22"/>
        </w:rPr>
        <w:t xml:space="preserve">En France, en matière de droit de la femme, il faut attendre la fin des années soixante-dix pour voir disparaître les dernières discriminations d'ordre juridique, alors même que l'égalité reste encore largement fictive dans de nombreux domaines. L'héritage du Code civil napoléonien qui instaure la </w:t>
      </w:r>
      <w:r w:rsidRPr="00E22FC8">
        <w:rPr>
          <w:rFonts w:ascii="Comic Sans MS" w:hAnsi="Comic Sans MS" w:cs="Arial"/>
          <w:sz w:val="22"/>
          <w:szCs w:val="22"/>
          <w:highlight w:val="yellow"/>
        </w:rPr>
        <w:t>subordination privée de la femme</w:t>
      </w:r>
      <w:r w:rsidRPr="00E22FC8">
        <w:rPr>
          <w:rFonts w:ascii="Comic Sans MS" w:hAnsi="Comic Sans MS" w:cs="Arial"/>
          <w:sz w:val="22"/>
          <w:szCs w:val="22"/>
        </w:rPr>
        <w:t xml:space="preserve"> en est responsable. </w:t>
      </w:r>
      <w:r w:rsidRPr="00A3716B">
        <w:rPr>
          <w:rFonts w:ascii="Comic Sans MS" w:hAnsi="Comic Sans MS" w:cs="Arial"/>
          <w:sz w:val="22"/>
          <w:szCs w:val="22"/>
          <w:highlight w:val="yellow"/>
        </w:rPr>
        <w:t>La Première Guerre mondiale permet quelques inflexions</w:t>
      </w:r>
      <w:r w:rsidRPr="00E22FC8">
        <w:rPr>
          <w:rFonts w:ascii="Comic Sans MS" w:hAnsi="Comic Sans MS" w:cs="Arial"/>
          <w:sz w:val="22"/>
          <w:szCs w:val="22"/>
        </w:rPr>
        <w:t xml:space="preserve"> : en 1920, la femme peut adhérer à un syndicat sans l'autorisation de son mari. Une étape importante est franchie avant la guerre, en </w:t>
      </w:r>
      <w:r w:rsidRPr="00A3716B">
        <w:rPr>
          <w:rFonts w:ascii="Comic Sans MS" w:hAnsi="Comic Sans MS" w:cs="Arial"/>
          <w:sz w:val="22"/>
          <w:szCs w:val="22"/>
          <w:highlight w:val="yellow"/>
        </w:rPr>
        <w:t>1938, avec l'abrogation de l'incapacité civile de la femme mariée</w:t>
      </w:r>
      <w:r w:rsidRPr="00E22FC8">
        <w:rPr>
          <w:rFonts w:ascii="Comic Sans MS" w:hAnsi="Comic Sans MS" w:cs="Arial"/>
          <w:sz w:val="22"/>
          <w:szCs w:val="22"/>
        </w:rPr>
        <w:t xml:space="preserve">. Cette mesure est distincte du Code de la famille, institué par décret du 29 juillet 1939, et qui tente d'encourager la natalité, par l'attribution d'avantages financiers. La structure familiale n'est pas remise en cause et le père conserve son rôle de chef de famille, l'autorité sur ses enfants, et peut interdire à son épouse de travailler. Cette politique sera prolongée et amplifiée sous </w:t>
      </w:r>
      <w:r w:rsidRPr="00A3716B">
        <w:rPr>
          <w:rFonts w:ascii="Comic Sans MS" w:hAnsi="Comic Sans MS" w:cs="Arial"/>
          <w:sz w:val="22"/>
          <w:szCs w:val="22"/>
          <w:highlight w:val="yellow"/>
        </w:rPr>
        <w:t>Vichy, qui place la famille au centre de son projet idéologique.</w:t>
      </w:r>
      <w:r w:rsidRPr="00E22FC8">
        <w:rPr>
          <w:rFonts w:ascii="Comic Sans MS" w:hAnsi="Comic Sans MS" w:cs="Arial"/>
          <w:sz w:val="22"/>
          <w:szCs w:val="22"/>
        </w:rPr>
        <w:t xml:space="preserve"> Les ultimes barrières juridiques cèderont tardivement, dans les années 60-70 : </w:t>
      </w:r>
      <w:r w:rsidRPr="00A3716B">
        <w:rPr>
          <w:rFonts w:ascii="Comic Sans MS" w:hAnsi="Comic Sans MS" w:cs="Arial"/>
          <w:sz w:val="22"/>
          <w:szCs w:val="22"/>
          <w:highlight w:val="yellow"/>
        </w:rPr>
        <w:t>en 1965, la tutelle maritale disparaît ; en 1970, la notion d'autorité parentale remplace celle de " chef de famille " ; en 1975, c'est la dépénalisation de l'adultère et l'instauration du divorce par consentement mutuel.</w:t>
      </w:r>
    </w:p>
    <w:p w:rsidR="00E22FC8" w:rsidRPr="00E22FC8" w:rsidRDefault="00E22FC8" w:rsidP="00B461E2">
      <w:pPr>
        <w:spacing w:before="100" w:beforeAutospacing="1" w:after="100" w:afterAutospacing="1" w:line="336" w:lineRule="atLeast"/>
        <w:ind w:left="1134"/>
        <w:jc w:val="both"/>
        <w:rPr>
          <w:rFonts w:ascii="Comic Sans MS" w:hAnsi="Comic Sans MS" w:cs="Arial"/>
          <w:sz w:val="22"/>
          <w:szCs w:val="22"/>
        </w:rPr>
      </w:pPr>
      <w:r w:rsidRPr="00E22FC8">
        <w:rPr>
          <w:rFonts w:ascii="Comic Sans MS" w:hAnsi="Comic Sans MS" w:cs="Arial"/>
          <w:b/>
          <w:bCs/>
          <w:sz w:val="22"/>
          <w:szCs w:val="22"/>
        </w:rPr>
        <w:t>" Disposer librement de son corps "</w:t>
      </w:r>
    </w:p>
    <w:p w:rsidR="00E22FC8" w:rsidRPr="00E22FC8" w:rsidRDefault="00E22FC8" w:rsidP="00E22FC8">
      <w:pPr>
        <w:spacing w:before="100" w:beforeAutospacing="1" w:after="100" w:afterAutospacing="1" w:line="336" w:lineRule="atLeast"/>
        <w:jc w:val="both"/>
        <w:rPr>
          <w:rFonts w:ascii="Comic Sans MS" w:hAnsi="Comic Sans MS" w:cs="Arial"/>
          <w:sz w:val="22"/>
          <w:szCs w:val="22"/>
        </w:rPr>
      </w:pPr>
      <w:r w:rsidRPr="00E22FC8">
        <w:rPr>
          <w:rFonts w:ascii="Comic Sans MS" w:hAnsi="Comic Sans MS" w:cs="Arial"/>
          <w:sz w:val="22"/>
          <w:szCs w:val="22"/>
        </w:rPr>
        <w:t xml:space="preserve">Après l'émancipation politique et sociale, </w:t>
      </w:r>
      <w:r w:rsidRPr="00A3716B">
        <w:rPr>
          <w:rFonts w:ascii="Comic Sans MS" w:hAnsi="Comic Sans MS" w:cs="Arial"/>
          <w:sz w:val="22"/>
          <w:szCs w:val="22"/>
          <w:highlight w:val="yellow"/>
        </w:rPr>
        <w:t>" l'émancipation sexuelle "</w:t>
      </w:r>
      <w:r w:rsidRPr="00E22FC8">
        <w:rPr>
          <w:rFonts w:ascii="Comic Sans MS" w:hAnsi="Comic Sans MS" w:cs="Arial"/>
          <w:sz w:val="22"/>
          <w:szCs w:val="22"/>
        </w:rPr>
        <w:t xml:space="preserve"> apparaît comme l'ultime et décisif combat contre l'assujettissement social et culturel des femmes. La </w:t>
      </w:r>
      <w:r w:rsidRPr="00A3716B">
        <w:rPr>
          <w:rFonts w:ascii="Comic Sans MS" w:hAnsi="Comic Sans MS" w:cs="Arial"/>
          <w:sz w:val="22"/>
          <w:szCs w:val="22"/>
          <w:highlight w:val="yellow"/>
        </w:rPr>
        <w:t xml:space="preserve">loi </w:t>
      </w:r>
      <w:proofErr w:type="spellStart"/>
      <w:r w:rsidRPr="00A3716B">
        <w:rPr>
          <w:rFonts w:ascii="Comic Sans MS" w:hAnsi="Comic Sans MS" w:cs="Arial"/>
          <w:sz w:val="22"/>
          <w:szCs w:val="22"/>
          <w:highlight w:val="yellow"/>
        </w:rPr>
        <w:t>Neuwirth</w:t>
      </w:r>
      <w:proofErr w:type="spellEnd"/>
      <w:r w:rsidRPr="00A3716B">
        <w:rPr>
          <w:rFonts w:ascii="Comic Sans MS" w:hAnsi="Comic Sans MS" w:cs="Arial"/>
          <w:sz w:val="22"/>
          <w:szCs w:val="22"/>
          <w:highlight w:val="yellow"/>
        </w:rPr>
        <w:t>, en 1967, autorise l'utili</w:t>
      </w:r>
      <w:r w:rsidR="00D245F7" w:rsidRPr="00A3716B">
        <w:rPr>
          <w:rFonts w:ascii="Comic Sans MS" w:hAnsi="Comic Sans MS" w:cs="Arial"/>
          <w:sz w:val="22"/>
          <w:szCs w:val="22"/>
          <w:highlight w:val="yellow"/>
        </w:rPr>
        <w:t>sation des moyens contraceptifs</w:t>
      </w:r>
      <w:r w:rsidRPr="00E22FC8">
        <w:rPr>
          <w:rFonts w:ascii="Comic Sans MS" w:hAnsi="Comic Sans MS" w:cs="Arial"/>
          <w:sz w:val="22"/>
          <w:szCs w:val="22"/>
        </w:rPr>
        <w:t xml:space="preserve">. Le combat pour le droit à l'avortement, dont la pratique est sévèrement réprimée depuis une loi de 1920, est fortement médiatisé au début des années 1970 : le 5 avril 1971, le magazine </w:t>
      </w:r>
      <w:r w:rsidRPr="00E22FC8">
        <w:rPr>
          <w:rFonts w:ascii="Comic Sans MS" w:hAnsi="Comic Sans MS" w:cs="Arial"/>
          <w:i/>
          <w:iCs/>
          <w:sz w:val="22"/>
          <w:szCs w:val="22"/>
        </w:rPr>
        <w:t>Le Nouvel Observateur</w:t>
      </w:r>
      <w:r w:rsidRPr="00E22FC8">
        <w:rPr>
          <w:rFonts w:ascii="Comic Sans MS" w:hAnsi="Comic Sans MS" w:cs="Arial"/>
          <w:sz w:val="22"/>
          <w:szCs w:val="22"/>
        </w:rPr>
        <w:t xml:space="preserve"> fait paraître une pétition, le " Manifeste des 343 ", où 343 femmes déclarent avoir subi un avortement, s'exposant ainsi à des poursuites pénales pouvant </w:t>
      </w:r>
      <w:r w:rsidRPr="00E22FC8">
        <w:rPr>
          <w:rFonts w:ascii="Comic Sans MS" w:hAnsi="Comic Sans MS" w:cs="Arial"/>
          <w:sz w:val="22"/>
          <w:szCs w:val="22"/>
        </w:rPr>
        <w:lastRenderedPageBreak/>
        <w:t xml:space="preserve">aller jusqu'à l'emprisonnement ; et en 1972, le Procès de Bobigny, où une jeune fille est jugée pour avoir avorté clandestinement à la suite d'un viol, donne lieu à des manifestations de soutien. A la suite de débats houleux, </w:t>
      </w:r>
      <w:r w:rsidRPr="00A3716B">
        <w:rPr>
          <w:rFonts w:ascii="Comic Sans MS" w:hAnsi="Comic Sans MS" w:cs="Arial"/>
          <w:sz w:val="22"/>
          <w:szCs w:val="22"/>
          <w:highlight w:val="yellow"/>
        </w:rPr>
        <w:t>l'avortement est finalement légalisé par l'Assemblée nationale, le 20 décembre 1975, pour une période probatoire de cinq an</w:t>
      </w:r>
      <w:r w:rsidRPr="00E22FC8">
        <w:rPr>
          <w:rFonts w:ascii="Comic Sans MS" w:hAnsi="Comic Sans MS" w:cs="Arial"/>
          <w:sz w:val="22"/>
          <w:szCs w:val="22"/>
        </w:rPr>
        <w:t>s, terme au bout duquel il sera définitivement autorisé, en 1979. Ces différents projets, loin de faire l'unanimité, y compris chez les politiciens, suscitent toujours des polémiques, en raison de l'apparition de groupes anti-IVG qui, par la violence, tentent d'empêcher l'application de la loi.</w:t>
      </w:r>
    </w:p>
    <w:p w:rsidR="00C23F6D" w:rsidRDefault="00C23F6D" w:rsidP="00B461E2">
      <w:pPr>
        <w:spacing w:before="150" w:after="150" w:line="240" w:lineRule="atLeast"/>
        <w:outlineLvl w:val="2"/>
        <w:rPr>
          <w:rFonts w:ascii="Comic Sans MS" w:hAnsi="Comic Sans MS" w:cs="Arial"/>
          <w:b/>
          <w:bCs/>
        </w:rPr>
      </w:pPr>
    </w:p>
    <w:p w:rsidR="00B461E2" w:rsidRPr="00B461E2" w:rsidRDefault="00B461E2" w:rsidP="00B461E2">
      <w:pPr>
        <w:spacing w:before="150" w:after="150" w:line="240" w:lineRule="atLeast"/>
        <w:outlineLvl w:val="2"/>
        <w:rPr>
          <w:rFonts w:ascii="Comic Sans MS" w:hAnsi="Comic Sans MS" w:cs="Arial"/>
          <w:b/>
          <w:bCs/>
        </w:rPr>
      </w:pPr>
      <w:r w:rsidRPr="00B461E2">
        <w:rPr>
          <w:rFonts w:ascii="Comic Sans MS" w:hAnsi="Comic Sans MS" w:cs="Arial"/>
          <w:b/>
          <w:bCs/>
        </w:rPr>
        <w:t>Années 80-90 : Vers la parité en politique</w:t>
      </w:r>
    </w:p>
    <w:p w:rsidR="00B461E2" w:rsidRPr="00B461E2" w:rsidRDefault="00B461E2" w:rsidP="00B461E2">
      <w:pPr>
        <w:spacing w:before="100" w:beforeAutospacing="1" w:after="100" w:afterAutospacing="1" w:line="336" w:lineRule="atLeast"/>
        <w:jc w:val="both"/>
        <w:rPr>
          <w:rFonts w:ascii="Comic Sans MS" w:hAnsi="Comic Sans MS" w:cs="Arial"/>
          <w:sz w:val="22"/>
          <w:szCs w:val="22"/>
        </w:rPr>
      </w:pPr>
      <w:r w:rsidRPr="00B461E2">
        <w:rPr>
          <w:rFonts w:ascii="Comic Sans MS" w:hAnsi="Comic Sans MS" w:cs="Arial"/>
          <w:sz w:val="22"/>
          <w:szCs w:val="22"/>
        </w:rPr>
        <w:t xml:space="preserve">A partir des années 80, c'est autour de la notion de parité et de genre que se concentre l'action des féministes françaises. Comme les inégalités perdurent, en particulier dans le domaine politique, </w:t>
      </w:r>
      <w:r w:rsidRPr="00A3716B">
        <w:rPr>
          <w:rFonts w:ascii="Comic Sans MS" w:hAnsi="Comic Sans MS" w:cs="Arial"/>
          <w:sz w:val="22"/>
          <w:szCs w:val="22"/>
          <w:highlight w:val="yellow"/>
        </w:rPr>
        <w:t>l'idée d'une incitation législative fait son chemin</w:t>
      </w:r>
      <w:r w:rsidRPr="00B461E2">
        <w:rPr>
          <w:rFonts w:ascii="Comic Sans MS" w:hAnsi="Comic Sans MS" w:cs="Arial"/>
          <w:sz w:val="22"/>
          <w:szCs w:val="22"/>
        </w:rPr>
        <w:t xml:space="preserve">. Elle se heurte cependant à de nombreux obstacles : au nom de l'égalité devant le suffrage, le Conseil constitutionnel a ainsi rejeté une loi de 1982 qui prévoyait d'instaurer, dans les villes de plus de 3 500 habitants, un quota minimum de femmes sur les listes de candidats (ou plus exactement, un maximum de 75% du même sexe). Depuis, l'idée du principe de la parité a progressé et trouve dans la loi de 2000 une première tentative d'institutionnalisation. Le débat sur la parité rencontre le débat actuel sur la notion de " genre ". Pour simplifier, on peut distinguer les " universalistes ", qui considèrent que l'être humain est universel et qu'il ne faut pas différencier les femmes des hommes, opposés à l'instauration de </w:t>
      </w:r>
      <w:r w:rsidRPr="00795F4A">
        <w:rPr>
          <w:rFonts w:ascii="Comic Sans MS" w:hAnsi="Comic Sans MS" w:cs="Arial"/>
          <w:sz w:val="22"/>
          <w:szCs w:val="22"/>
          <w:highlight w:val="yellow"/>
        </w:rPr>
        <w:t>" quotas " féminins</w:t>
      </w:r>
      <w:r w:rsidRPr="00B461E2">
        <w:rPr>
          <w:rFonts w:ascii="Comic Sans MS" w:hAnsi="Comic Sans MS" w:cs="Arial"/>
          <w:sz w:val="22"/>
          <w:szCs w:val="22"/>
        </w:rPr>
        <w:t xml:space="preserve"> ; et les " différencialistes ", qui considèrent qu'il existe une spécificité féminine qui doit être prise en compte, favorables à la loi sur la parité.</w:t>
      </w:r>
    </w:p>
    <w:p w:rsidR="00C82D3B" w:rsidRPr="00E22FC8" w:rsidRDefault="00C82D3B" w:rsidP="00C86E4F">
      <w:pPr>
        <w:jc w:val="both"/>
        <w:rPr>
          <w:rFonts w:ascii="Comic Sans MS" w:hAnsi="Comic Sans MS" w:cs="Arial"/>
          <w:sz w:val="22"/>
          <w:szCs w:val="22"/>
        </w:rPr>
      </w:pPr>
    </w:p>
    <w:sectPr w:rsidR="00C82D3B" w:rsidRPr="00E22F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20" w:rsidRDefault="000E0420" w:rsidP="000C52C9">
      <w:r>
        <w:separator/>
      </w:r>
    </w:p>
  </w:endnote>
  <w:endnote w:type="continuationSeparator" w:id="0">
    <w:p w:rsidR="000E0420" w:rsidRDefault="000E0420" w:rsidP="000C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20" w:rsidRPr="000C52C9" w:rsidRDefault="000E0420">
    <w:pPr>
      <w:pStyle w:val="Pieddepage"/>
      <w:rPr>
        <w:rFonts w:ascii="Comic Sans MS" w:hAnsi="Comic Sans MS"/>
        <w:sz w:val="16"/>
        <w:szCs w:val="16"/>
      </w:rPr>
    </w:pPr>
    <w:r w:rsidRPr="000C52C9">
      <w:rPr>
        <w:rFonts w:ascii="Comic Sans MS" w:hAnsi="Comic Sans MS"/>
        <w:sz w:val="16"/>
        <w:szCs w:val="16"/>
      </w:rPr>
      <w:ptab w:relativeTo="margin" w:alignment="center" w:leader="none"/>
    </w:r>
    <w:r w:rsidRPr="000C52C9">
      <w:rPr>
        <w:rFonts w:ascii="Comic Sans MS" w:hAnsi="Comic Sans MS"/>
        <w:sz w:val="16"/>
        <w:szCs w:val="16"/>
      </w:rPr>
      <w:t>BTP CFA Maine-et-Loire</w:t>
    </w:r>
  </w:p>
  <w:p w:rsidR="000E0420" w:rsidRPr="000C52C9" w:rsidRDefault="000E0420" w:rsidP="000C52C9">
    <w:pPr>
      <w:pStyle w:val="Pieddepage"/>
      <w:jc w:val="center"/>
      <w:rPr>
        <w:rFonts w:ascii="Comic Sans MS" w:hAnsi="Comic Sans MS"/>
        <w:sz w:val="16"/>
        <w:szCs w:val="16"/>
      </w:rPr>
    </w:pPr>
    <w:r w:rsidRPr="000C52C9">
      <w:rPr>
        <w:rFonts w:ascii="Comic Sans MS" w:hAnsi="Comic Sans MS"/>
        <w:sz w:val="16"/>
        <w:szCs w:val="16"/>
      </w:rPr>
      <w:t xml:space="preserve">                                                                              </w:t>
    </w:r>
    <w:r>
      <w:rPr>
        <w:rFonts w:ascii="Comic Sans MS" w:hAnsi="Comic Sans MS"/>
        <w:sz w:val="16"/>
        <w:szCs w:val="16"/>
      </w:rPr>
      <w:t xml:space="preserve">    </w:t>
    </w:r>
    <w:r w:rsidRPr="000C52C9">
      <w:rPr>
        <w:rFonts w:ascii="Comic Sans MS" w:hAnsi="Comic Sans MS"/>
        <w:sz w:val="16"/>
        <w:szCs w:val="16"/>
      </w:rPr>
      <w:t xml:space="preserve">  N. </w:t>
    </w:r>
    <w:r>
      <w:rPr>
        <w:rFonts w:ascii="Comic Sans MS" w:hAnsi="Comic Sans MS"/>
        <w:sz w:val="16"/>
        <w:szCs w:val="16"/>
      </w:rPr>
      <w:t>Pointeau</w:t>
    </w:r>
    <w:r w:rsidRPr="000C52C9">
      <w:rPr>
        <w:rFonts w:ascii="Comic Sans MS" w:hAnsi="Comic Sans MS"/>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20" w:rsidRDefault="000E0420" w:rsidP="000C52C9">
      <w:r>
        <w:separator/>
      </w:r>
    </w:p>
  </w:footnote>
  <w:footnote w:type="continuationSeparator" w:id="0">
    <w:p w:rsidR="000E0420" w:rsidRDefault="000E0420" w:rsidP="000C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20" w:rsidRPr="004444DB" w:rsidRDefault="000E0420" w:rsidP="000C52C9">
    <w:pPr>
      <w:pStyle w:val="En-tte"/>
      <w:jc w:val="center"/>
      <w:rPr>
        <w:rFonts w:ascii="Comic Sans MS" w:hAnsi="Comic Sans MS"/>
        <w:sz w:val="16"/>
        <w:szCs w:val="16"/>
      </w:rPr>
    </w:pPr>
    <w:r w:rsidRPr="004444DB">
      <w:rPr>
        <w:rFonts w:ascii="Comic Sans MS" w:hAnsi="Comic Sans MS"/>
        <w:sz w:val="16"/>
        <w:szCs w:val="16"/>
      </w:rPr>
      <w:t xml:space="preserve">BP1 Histoire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D4D"/>
    <w:multiLevelType w:val="multilevel"/>
    <w:tmpl w:val="DDF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30C8C"/>
    <w:multiLevelType w:val="multilevel"/>
    <w:tmpl w:val="28F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0655C"/>
    <w:multiLevelType w:val="multilevel"/>
    <w:tmpl w:val="75FC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F5BB0"/>
    <w:multiLevelType w:val="multilevel"/>
    <w:tmpl w:val="7A5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F69E8"/>
    <w:multiLevelType w:val="multilevel"/>
    <w:tmpl w:val="577C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D1"/>
    <w:rsid w:val="000C52C9"/>
    <w:rsid w:val="000E0420"/>
    <w:rsid w:val="00164ADF"/>
    <w:rsid w:val="002C38E0"/>
    <w:rsid w:val="003A00E8"/>
    <w:rsid w:val="004444DB"/>
    <w:rsid w:val="0045057C"/>
    <w:rsid w:val="004D42D1"/>
    <w:rsid w:val="005E1200"/>
    <w:rsid w:val="00795F4A"/>
    <w:rsid w:val="008C2E32"/>
    <w:rsid w:val="00A330D7"/>
    <w:rsid w:val="00A3716B"/>
    <w:rsid w:val="00AC30C2"/>
    <w:rsid w:val="00B461E2"/>
    <w:rsid w:val="00B6562B"/>
    <w:rsid w:val="00C23F6D"/>
    <w:rsid w:val="00C82D3B"/>
    <w:rsid w:val="00C86E4F"/>
    <w:rsid w:val="00D245F7"/>
    <w:rsid w:val="00D4423C"/>
    <w:rsid w:val="00E22FC8"/>
    <w:rsid w:val="00EB29D3"/>
    <w:rsid w:val="00FA6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52C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C52C9"/>
  </w:style>
  <w:style w:type="paragraph" w:styleId="Pieddepage">
    <w:name w:val="footer"/>
    <w:basedOn w:val="Normal"/>
    <w:link w:val="PieddepageCar"/>
    <w:uiPriority w:val="99"/>
    <w:unhideWhenUsed/>
    <w:rsid w:val="000C52C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C52C9"/>
  </w:style>
  <w:style w:type="paragraph" w:styleId="Textedebulles">
    <w:name w:val="Balloon Text"/>
    <w:basedOn w:val="Normal"/>
    <w:link w:val="TextedebullesCar"/>
    <w:uiPriority w:val="99"/>
    <w:semiHidden/>
    <w:unhideWhenUsed/>
    <w:rsid w:val="000C52C9"/>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C52C9"/>
    <w:rPr>
      <w:rFonts w:ascii="Tahoma" w:hAnsi="Tahoma" w:cs="Tahoma"/>
      <w:sz w:val="16"/>
      <w:szCs w:val="16"/>
    </w:rPr>
  </w:style>
  <w:style w:type="character" w:styleId="lev">
    <w:name w:val="Strong"/>
    <w:basedOn w:val="Policepardfaut"/>
    <w:uiPriority w:val="22"/>
    <w:qFormat/>
    <w:rsid w:val="0045057C"/>
    <w:rPr>
      <w:b/>
      <w:bCs/>
    </w:rPr>
  </w:style>
  <w:style w:type="paragraph" w:customStyle="1" w:styleId="titredecouverte2">
    <w:name w:val="titredecouverte2"/>
    <w:basedOn w:val="Normal"/>
    <w:rsid w:val="0045057C"/>
    <w:pPr>
      <w:spacing w:after="225"/>
    </w:pPr>
    <w:rPr>
      <w:rFonts w:ascii="Arial" w:hAnsi="Arial" w:cs="Arial"/>
      <w:b/>
      <w:bCs/>
      <w:color w:val="000000"/>
      <w:sz w:val="34"/>
      <w:szCs w:val="34"/>
    </w:rPr>
  </w:style>
  <w:style w:type="character" w:customStyle="1" w:styleId="glmot">
    <w:name w:val="gl_mot"/>
    <w:basedOn w:val="Policepardfaut"/>
    <w:rsid w:val="0045057C"/>
  </w:style>
  <w:style w:type="character" w:customStyle="1" w:styleId="gldt">
    <w:name w:val="gl_dt"/>
    <w:basedOn w:val="Policepardfaut"/>
    <w:rsid w:val="0045057C"/>
  </w:style>
  <w:style w:type="character" w:customStyle="1" w:styleId="gldd">
    <w:name w:val="gl_dd"/>
    <w:basedOn w:val="Policepardfaut"/>
    <w:rsid w:val="00450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52C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C52C9"/>
  </w:style>
  <w:style w:type="paragraph" w:styleId="Pieddepage">
    <w:name w:val="footer"/>
    <w:basedOn w:val="Normal"/>
    <w:link w:val="PieddepageCar"/>
    <w:uiPriority w:val="99"/>
    <w:unhideWhenUsed/>
    <w:rsid w:val="000C52C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C52C9"/>
  </w:style>
  <w:style w:type="paragraph" w:styleId="Textedebulles">
    <w:name w:val="Balloon Text"/>
    <w:basedOn w:val="Normal"/>
    <w:link w:val="TextedebullesCar"/>
    <w:uiPriority w:val="99"/>
    <w:semiHidden/>
    <w:unhideWhenUsed/>
    <w:rsid w:val="000C52C9"/>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C52C9"/>
    <w:rPr>
      <w:rFonts w:ascii="Tahoma" w:hAnsi="Tahoma" w:cs="Tahoma"/>
      <w:sz w:val="16"/>
      <w:szCs w:val="16"/>
    </w:rPr>
  </w:style>
  <w:style w:type="character" w:styleId="lev">
    <w:name w:val="Strong"/>
    <w:basedOn w:val="Policepardfaut"/>
    <w:uiPriority w:val="22"/>
    <w:qFormat/>
    <w:rsid w:val="0045057C"/>
    <w:rPr>
      <w:b/>
      <w:bCs/>
    </w:rPr>
  </w:style>
  <w:style w:type="paragraph" w:customStyle="1" w:styleId="titredecouverte2">
    <w:name w:val="titredecouverte2"/>
    <w:basedOn w:val="Normal"/>
    <w:rsid w:val="0045057C"/>
    <w:pPr>
      <w:spacing w:after="225"/>
    </w:pPr>
    <w:rPr>
      <w:rFonts w:ascii="Arial" w:hAnsi="Arial" w:cs="Arial"/>
      <w:b/>
      <w:bCs/>
      <w:color w:val="000000"/>
      <w:sz w:val="34"/>
      <w:szCs w:val="34"/>
    </w:rPr>
  </w:style>
  <w:style w:type="character" w:customStyle="1" w:styleId="glmot">
    <w:name w:val="gl_mot"/>
    <w:basedOn w:val="Policepardfaut"/>
    <w:rsid w:val="0045057C"/>
  </w:style>
  <w:style w:type="character" w:customStyle="1" w:styleId="gldt">
    <w:name w:val="gl_dt"/>
    <w:basedOn w:val="Policepardfaut"/>
    <w:rsid w:val="0045057C"/>
  </w:style>
  <w:style w:type="character" w:customStyle="1" w:styleId="gldd">
    <w:name w:val="gl_dd"/>
    <w:basedOn w:val="Policepardfaut"/>
    <w:rsid w:val="0045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524">
      <w:bodyDiv w:val="1"/>
      <w:marLeft w:val="0"/>
      <w:marRight w:val="0"/>
      <w:marTop w:val="0"/>
      <w:marBottom w:val="0"/>
      <w:divBdr>
        <w:top w:val="none" w:sz="0" w:space="0" w:color="auto"/>
        <w:left w:val="none" w:sz="0" w:space="0" w:color="auto"/>
        <w:bottom w:val="none" w:sz="0" w:space="0" w:color="auto"/>
        <w:right w:val="none" w:sz="0" w:space="0" w:color="auto"/>
      </w:divBdr>
      <w:divsChild>
        <w:div w:id="1727336713">
          <w:marLeft w:val="0"/>
          <w:marRight w:val="0"/>
          <w:marTop w:val="0"/>
          <w:marBottom w:val="0"/>
          <w:divBdr>
            <w:top w:val="none" w:sz="0" w:space="0" w:color="auto"/>
            <w:left w:val="none" w:sz="0" w:space="0" w:color="auto"/>
            <w:bottom w:val="none" w:sz="0" w:space="0" w:color="auto"/>
            <w:right w:val="none" w:sz="0" w:space="0" w:color="auto"/>
          </w:divBdr>
          <w:divsChild>
            <w:div w:id="914824243">
              <w:marLeft w:val="0"/>
              <w:marRight w:val="0"/>
              <w:marTop w:val="0"/>
              <w:marBottom w:val="0"/>
              <w:divBdr>
                <w:top w:val="none" w:sz="0" w:space="0" w:color="auto"/>
                <w:left w:val="none" w:sz="0" w:space="0" w:color="auto"/>
                <w:bottom w:val="none" w:sz="0" w:space="0" w:color="auto"/>
                <w:right w:val="none" w:sz="0" w:space="0" w:color="auto"/>
              </w:divBdr>
              <w:divsChild>
                <w:div w:id="727262599">
                  <w:marLeft w:val="0"/>
                  <w:marRight w:val="0"/>
                  <w:marTop w:val="0"/>
                  <w:marBottom w:val="0"/>
                  <w:divBdr>
                    <w:top w:val="none" w:sz="0" w:space="0" w:color="auto"/>
                    <w:left w:val="none" w:sz="0" w:space="0" w:color="auto"/>
                    <w:bottom w:val="none" w:sz="0" w:space="0" w:color="auto"/>
                    <w:right w:val="none" w:sz="0" w:space="0" w:color="auto"/>
                  </w:divBdr>
                  <w:divsChild>
                    <w:div w:id="441415669">
                      <w:marLeft w:val="0"/>
                      <w:marRight w:val="0"/>
                      <w:marTop w:val="0"/>
                      <w:marBottom w:val="0"/>
                      <w:divBdr>
                        <w:top w:val="none" w:sz="0" w:space="0" w:color="auto"/>
                        <w:left w:val="none" w:sz="0" w:space="0" w:color="auto"/>
                        <w:bottom w:val="none" w:sz="0" w:space="0" w:color="auto"/>
                        <w:right w:val="none" w:sz="0" w:space="0" w:color="auto"/>
                      </w:divBdr>
                      <w:divsChild>
                        <w:div w:id="1654286621">
                          <w:marLeft w:val="330"/>
                          <w:marRight w:val="0"/>
                          <w:marTop w:val="0"/>
                          <w:marBottom w:val="0"/>
                          <w:divBdr>
                            <w:top w:val="none" w:sz="0" w:space="0" w:color="auto"/>
                            <w:left w:val="none" w:sz="0" w:space="0" w:color="auto"/>
                            <w:bottom w:val="none" w:sz="0" w:space="0" w:color="auto"/>
                            <w:right w:val="none" w:sz="0" w:space="0" w:color="auto"/>
                          </w:divBdr>
                          <w:divsChild>
                            <w:div w:id="1856575589">
                              <w:marLeft w:val="0"/>
                              <w:marRight w:val="0"/>
                              <w:marTop w:val="0"/>
                              <w:marBottom w:val="0"/>
                              <w:divBdr>
                                <w:top w:val="none" w:sz="0" w:space="0" w:color="auto"/>
                                <w:left w:val="none" w:sz="0" w:space="0" w:color="auto"/>
                                <w:bottom w:val="none" w:sz="0" w:space="0" w:color="auto"/>
                                <w:right w:val="none" w:sz="0" w:space="0" w:color="auto"/>
                              </w:divBdr>
                              <w:divsChild>
                                <w:div w:id="197016780">
                                  <w:marLeft w:val="0"/>
                                  <w:marRight w:val="0"/>
                                  <w:marTop w:val="375"/>
                                  <w:marBottom w:val="0"/>
                                  <w:divBdr>
                                    <w:top w:val="none" w:sz="0" w:space="0" w:color="auto"/>
                                    <w:left w:val="none" w:sz="0" w:space="0" w:color="auto"/>
                                    <w:bottom w:val="none" w:sz="0" w:space="0" w:color="auto"/>
                                    <w:right w:val="none" w:sz="0" w:space="0" w:color="auto"/>
                                  </w:divBdr>
                                  <w:divsChild>
                                    <w:div w:id="920527445">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5933">
      <w:bodyDiv w:val="1"/>
      <w:marLeft w:val="0"/>
      <w:marRight w:val="0"/>
      <w:marTop w:val="0"/>
      <w:marBottom w:val="0"/>
      <w:divBdr>
        <w:top w:val="none" w:sz="0" w:space="0" w:color="auto"/>
        <w:left w:val="none" w:sz="0" w:space="0" w:color="auto"/>
        <w:bottom w:val="none" w:sz="0" w:space="0" w:color="auto"/>
        <w:right w:val="none" w:sz="0" w:space="0" w:color="auto"/>
      </w:divBdr>
      <w:divsChild>
        <w:div w:id="1216040909">
          <w:marLeft w:val="0"/>
          <w:marRight w:val="0"/>
          <w:marTop w:val="0"/>
          <w:marBottom w:val="0"/>
          <w:divBdr>
            <w:top w:val="none" w:sz="0" w:space="0" w:color="auto"/>
            <w:left w:val="none" w:sz="0" w:space="0" w:color="auto"/>
            <w:bottom w:val="none" w:sz="0" w:space="0" w:color="auto"/>
            <w:right w:val="none" w:sz="0" w:space="0" w:color="auto"/>
          </w:divBdr>
          <w:divsChild>
            <w:div w:id="12952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4417">
      <w:bodyDiv w:val="1"/>
      <w:marLeft w:val="0"/>
      <w:marRight w:val="0"/>
      <w:marTop w:val="0"/>
      <w:marBottom w:val="0"/>
      <w:divBdr>
        <w:top w:val="none" w:sz="0" w:space="0" w:color="auto"/>
        <w:left w:val="none" w:sz="0" w:space="0" w:color="auto"/>
        <w:bottom w:val="none" w:sz="0" w:space="0" w:color="auto"/>
        <w:right w:val="none" w:sz="0" w:space="0" w:color="auto"/>
      </w:divBdr>
      <w:divsChild>
        <w:div w:id="1786466370">
          <w:marLeft w:val="0"/>
          <w:marRight w:val="0"/>
          <w:marTop w:val="0"/>
          <w:marBottom w:val="0"/>
          <w:divBdr>
            <w:top w:val="none" w:sz="0" w:space="0" w:color="auto"/>
            <w:left w:val="none" w:sz="0" w:space="0" w:color="auto"/>
            <w:bottom w:val="none" w:sz="0" w:space="0" w:color="auto"/>
            <w:right w:val="none" w:sz="0" w:space="0" w:color="auto"/>
          </w:divBdr>
          <w:divsChild>
            <w:div w:id="13997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8534">
      <w:bodyDiv w:val="1"/>
      <w:marLeft w:val="0"/>
      <w:marRight w:val="0"/>
      <w:marTop w:val="0"/>
      <w:marBottom w:val="0"/>
      <w:divBdr>
        <w:top w:val="none" w:sz="0" w:space="0" w:color="auto"/>
        <w:left w:val="none" w:sz="0" w:space="0" w:color="auto"/>
        <w:bottom w:val="none" w:sz="0" w:space="0" w:color="auto"/>
        <w:right w:val="none" w:sz="0" w:space="0" w:color="auto"/>
      </w:divBdr>
      <w:divsChild>
        <w:div w:id="135877655">
          <w:marLeft w:val="0"/>
          <w:marRight w:val="0"/>
          <w:marTop w:val="0"/>
          <w:marBottom w:val="0"/>
          <w:divBdr>
            <w:top w:val="none" w:sz="0" w:space="0" w:color="auto"/>
            <w:left w:val="none" w:sz="0" w:space="0" w:color="auto"/>
            <w:bottom w:val="none" w:sz="0" w:space="0" w:color="auto"/>
            <w:right w:val="none" w:sz="0" w:space="0" w:color="auto"/>
          </w:divBdr>
          <w:divsChild>
            <w:div w:id="154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6978">
      <w:bodyDiv w:val="1"/>
      <w:marLeft w:val="0"/>
      <w:marRight w:val="0"/>
      <w:marTop w:val="0"/>
      <w:marBottom w:val="0"/>
      <w:divBdr>
        <w:top w:val="none" w:sz="0" w:space="0" w:color="auto"/>
        <w:left w:val="none" w:sz="0" w:space="0" w:color="auto"/>
        <w:bottom w:val="none" w:sz="0" w:space="0" w:color="auto"/>
        <w:right w:val="none" w:sz="0" w:space="0" w:color="auto"/>
      </w:divBdr>
      <w:divsChild>
        <w:div w:id="1332176919">
          <w:marLeft w:val="0"/>
          <w:marRight w:val="0"/>
          <w:marTop w:val="0"/>
          <w:marBottom w:val="0"/>
          <w:divBdr>
            <w:top w:val="none" w:sz="0" w:space="0" w:color="auto"/>
            <w:left w:val="none" w:sz="0" w:space="0" w:color="auto"/>
            <w:bottom w:val="none" w:sz="0" w:space="0" w:color="auto"/>
            <w:right w:val="none" w:sz="0" w:space="0" w:color="auto"/>
          </w:divBdr>
          <w:divsChild>
            <w:div w:id="19826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6942">
      <w:bodyDiv w:val="1"/>
      <w:marLeft w:val="0"/>
      <w:marRight w:val="0"/>
      <w:marTop w:val="0"/>
      <w:marBottom w:val="0"/>
      <w:divBdr>
        <w:top w:val="none" w:sz="0" w:space="0" w:color="auto"/>
        <w:left w:val="none" w:sz="0" w:space="0" w:color="auto"/>
        <w:bottom w:val="none" w:sz="0" w:space="0" w:color="auto"/>
        <w:right w:val="none" w:sz="0" w:space="0" w:color="auto"/>
      </w:divBdr>
      <w:divsChild>
        <w:div w:id="87240246">
          <w:marLeft w:val="0"/>
          <w:marRight w:val="0"/>
          <w:marTop w:val="0"/>
          <w:marBottom w:val="0"/>
          <w:divBdr>
            <w:top w:val="none" w:sz="0" w:space="0" w:color="auto"/>
            <w:left w:val="none" w:sz="0" w:space="0" w:color="auto"/>
            <w:bottom w:val="none" w:sz="0" w:space="0" w:color="auto"/>
            <w:right w:val="none" w:sz="0" w:space="0" w:color="auto"/>
          </w:divBdr>
          <w:divsChild>
            <w:div w:id="19641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FDDB93FC</Template>
  <TotalTime>108</TotalTime>
  <Pages>4</Pages>
  <Words>1541</Words>
  <Characters>8477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FOUASSIER Nadège</dc:creator>
  <cp:keywords/>
  <dc:description/>
  <cp:lastModifiedBy>Nadège POINTEAU</cp:lastModifiedBy>
  <cp:revision>21</cp:revision>
  <dcterms:created xsi:type="dcterms:W3CDTF">2014-09-12T06:37:00Z</dcterms:created>
  <dcterms:modified xsi:type="dcterms:W3CDTF">2017-03-01T09:19:00Z</dcterms:modified>
</cp:coreProperties>
</file>