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D75" w:rsidRPr="00EF08AA" w:rsidRDefault="00017D75" w:rsidP="00017D75">
      <w:pPr>
        <w:pStyle w:val="Corpsdetexte31"/>
        <w:spacing w:after="120"/>
        <w:jc w:val="left"/>
        <w:rPr>
          <w:rFonts w:asciiTheme="minorHAnsi" w:hAnsiTheme="minorHAnsi" w:cstheme="minorHAnsi"/>
          <w:iCs/>
          <w:szCs w:val="28"/>
        </w:rPr>
      </w:pPr>
      <w:r w:rsidRPr="00EF08AA">
        <w:rPr>
          <w:rFonts w:asciiTheme="minorHAnsi" w:hAnsiTheme="minorHAnsi" w:cstheme="minorHAnsi"/>
          <w:iCs/>
          <w:szCs w:val="28"/>
        </w:rPr>
        <w:t>THEME :</w:t>
      </w:r>
      <w:r w:rsidRPr="00EF08AA">
        <w:rPr>
          <w:rFonts w:asciiTheme="minorHAnsi" w:hAnsiTheme="minorHAnsi" w:cstheme="minorHAnsi"/>
          <w:b/>
          <w:iCs/>
          <w:szCs w:val="28"/>
        </w:rPr>
        <w:t xml:space="preserve"> La Terre, la vie et l’évolution du vivant</w:t>
      </w:r>
      <w:r w:rsidRPr="00EF08AA">
        <w:rPr>
          <w:rFonts w:asciiTheme="minorHAnsi" w:hAnsiTheme="minorHAnsi" w:cstheme="minorHAnsi"/>
          <w:iCs/>
          <w:szCs w:val="28"/>
        </w:rPr>
        <w:t> </w:t>
      </w:r>
      <w:r w:rsidRPr="00EF08AA">
        <w:rPr>
          <w:rFonts w:asciiTheme="minorHAnsi" w:hAnsiTheme="minorHAnsi" w:cstheme="minorHAnsi"/>
          <w:iCs/>
          <w:szCs w:val="28"/>
        </w:rPr>
        <w:tab/>
      </w:r>
      <w:r w:rsidRPr="00EF08AA">
        <w:rPr>
          <w:rFonts w:asciiTheme="minorHAnsi" w:hAnsiTheme="minorHAnsi" w:cstheme="minorHAnsi"/>
          <w:iCs/>
          <w:szCs w:val="28"/>
        </w:rPr>
        <w:tab/>
      </w:r>
      <w:r w:rsidRPr="00EF08AA">
        <w:rPr>
          <w:rFonts w:asciiTheme="minorHAnsi" w:hAnsiTheme="minorHAnsi" w:cstheme="minorHAnsi"/>
          <w:iCs/>
          <w:szCs w:val="28"/>
        </w:rPr>
        <w:tab/>
      </w:r>
      <w:r w:rsidRPr="00EF08AA">
        <w:rPr>
          <w:rFonts w:asciiTheme="minorHAnsi" w:hAnsiTheme="minorHAnsi" w:cstheme="minorHAnsi"/>
          <w:iCs/>
          <w:szCs w:val="28"/>
        </w:rPr>
        <w:tab/>
      </w:r>
      <w:r w:rsidRPr="00EF08AA">
        <w:rPr>
          <w:rFonts w:asciiTheme="minorHAnsi" w:hAnsiTheme="minorHAnsi" w:cstheme="minorHAnsi"/>
          <w:iCs/>
          <w:szCs w:val="28"/>
        </w:rPr>
        <w:tab/>
      </w:r>
      <w:r w:rsidRPr="00EF08AA">
        <w:rPr>
          <w:rFonts w:asciiTheme="minorHAnsi" w:hAnsiTheme="minorHAnsi" w:cstheme="minorHAnsi"/>
          <w:iCs/>
          <w:szCs w:val="28"/>
        </w:rPr>
        <w:tab/>
        <w:t>CHAPITRE :</w:t>
      </w:r>
      <w:r w:rsidRPr="00EF08AA">
        <w:rPr>
          <w:rFonts w:asciiTheme="minorHAnsi" w:hAnsiTheme="minorHAnsi" w:cstheme="minorHAnsi"/>
          <w:b/>
          <w:iCs/>
          <w:szCs w:val="28"/>
        </w:rPr>
        <w:t xml:space="preserve"> Transmission, variation et expression du patrimoine génétique</w:t>
      </w:r>
    </w:p>
    <w:p w:rsidR="00017D75" w:rsidRPr="00EF08AA" w:rsidRDefault="00017D75" w:rsidP="00017D75">
      <w:pPr>
        <w:pStyle w:val="Corpsdetexte31"/>
        <w:jc w:val="left"/>
        <w:rPr>
          <w:rFonts w:asciiTheme="minorHAnsi" w:hAnsiTheme="minorHAnsi" w:cstheme="minorHAnsi"/>
          <w:iCs/>
          <w:szCs w:val="28"/>
        </w:rPr>
      </w:pPr>
      <w:r w:rsidRPr="00EF08AA">
        <w:rPr>
          <w:rFonts w:asciiTheme="minorHAnsi" w:hAnsiTheme="minorHAnsi" w:cstheme="minorHAnsi"/>
          <w:iCs/>
          <w:szCs w:val="28"/>
          <w:shd w:val="clear" w:color="auto" w:fill="BFBFBF"/>
        </w:rPr>
        <w:t xml:space="preserve">TP20:   patrimoine génétique, Covid et vaccin à ARN                                                             </w:t>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r w:rsidRPr="00EF08AA">
        <w:rPr>
          <w:rFonts w:asciiTheme="minorHAnsi" w:hAnsiTheme="minorHAnsi" w:cstheme="minorHAnsi"/>
          <w:iCs/>
          <w:szCs w:val="28"/>
          <w:shd w:val="clear" w:color="auto" w:fill="BFBFBF"/>
        </w:rPr>
        <w:tab/>
      </w:r>
    </w:p>
    <w:p w:rsidR="001512F6" w:rsidRPr="00EF08AA" w:rsidRDefault="00017D75" w:rsidP="00017D75">
      <w:pPr>
        <w:spacing w:before="120"/>
        <w:rPr>
          <w:rFonts w:asciiTheme="minorHAnsi" w:hAnsiTheme="minorHAnsi" w:cstheme="minorHAnsi"/>
        </w:rPr>
      </w:pPr>
      <w:r w:rsidRPr="00EF08AA">
        <w:rPr>
          <w:rFonts w:asciiTheme="minorHAnsi" w:hAnsiTheme="minorHAnsi" w:cstheme="minorHAnsi"/>
          <w:iCs/>
          <w:szCs w:val="28"/>
        </w:rPr>
        <w:t xml:space="preserve">Situation : </w:t>
      </w:r>
      <w:r w:rsidRPr="00EF08AA">
        <w:rPr>
          <w:rFonts w:asciiTheme="minorHAnsi" w:hAnsiTheme="minorHAnsi" w:cstheme="minorHAnsi"/>
        </w:rPr>
        <w:t>Nous avons vu dans le chapitre sur l’immunité que lorsqu’un micro organisme pathogène pénètre dans notre corps, l’immunité adaptative à médiation humorale entre en action et permet la synthèse d’anticorps spécifiques dirigés contre l’agresseur.</w:t>
      </w:r>
    </w:p>
    <w:p w:rsidR="00017D75" w:rsidRPr="00EF08AA" w:rsidRDefault="00017D75" w:rsidP="00017D75">
      <w:pPr>
        <w:spacing w:before="120"/>
        <w:rPr>
          <w:rFonts w:asciiTheme="minorHAnsi" w:hAnsiTheme="minorHAnsi" w:cstheme="minorHAnsi"/>
        </w:rPr>
      </w:pPr>
      <w:r w:rsidRPr="00EF08AA">
        <w:rPr>
          <w:rFonts w:asciiTheme="minorHAnsi" w:hAnsiTheme="minorHAnsi" w:cstheme="minorHAnsi"/>
        </w:rPr>
        <w:t>Connaissant ces mécanismes, les scientifiques ont élaboré des technique</w:t>
      </w:r>
      <w:r w:rsidR="00F07494" w:rsidRPr="00EF08AA">
        <w:rPr>
          <w:rFonts w:asciiTheme="minorHAnsi" w:hAnsiTheme="minorHAnsi" w:cstheme="minorHAnsi"/>
        </w:rPr>
        <w:t>s</w:t>
      </w:r>
      <w:r w:rsidRPr="00EF08AA">
        <w:rPr>
          <w:rFonts w:asciiTheme="minorHAnsi" w:hAnsiTheme="minorHAnsi" w:cstheme="minorHAnsi"/>
        </w:rPr>
        <w:t xml:space="preserve"> préventive</w:t>
      </w:r>
      <w:r w:rsidR="00F07494" w:rsidRPr="00EF08AA">
        <w:rPr>
          <w:rFonts w:asciiTheme="minorHAnsi" w:hAnsiTheme="minorHAnsi" w:cstheme="minorHAnsi"/>
        </w:rPr>
        <w:t>s,</w:t>
      </w:r>
      <w:r w:rsidRPr="00EF08AA">
        <w:rPr>
          <w:rFonts w:asciiTheme="minorHAnsi" w:hAnsiTheme="minorHAnsi" w:cstheme="minorHAnsi"/>
        </w:rPr>
        <w:t xml:space="preserve"> comme le vaccin</w:t>
      </w:r>
      <w:r w:rsidR="00F07494" w:rsidRPr="00EF08AA">
        <w:rPr>
          <w:rFonts w:asciiTheme="minorHAnsi" w:hAnsiTheme="minorHAnsi" w:cstheme="minorHAnsi"/>
        </w:rPr>
        <w:t>,</w:t>
      </w:r>
      <w:r w:rsidRPr="00EF08AA">
        <w:rPr>
          <w:rFonts w:asciiTheme="minorHAnsi" w:hAnsiTheme="minorHAnsi" w:cstheme="minorHAnsi"/>
        </w:rPr>
        <w:t xml:space="preserve"> pour que notre organisme synthétise des anticorps spécifiques au pathogène injecté avant même être entré en contact avec lui.</w:t>
      </w:r>
    </w:p>
    <w:p w:rsidR="00F07494" w:rsidRPr="00EF08AA" w:rsidRDefault="00F07494" w:rsidP="00F07494">
      <w:pPr>
        <w:spacing w:before="120" w:after="120"/>
        <w:rPr>
          <w:rFonts w:asciiTheme="minorHAnsi" w:hAnsiTheme="minorHAnsi" w:cstheme="minorHAnsi"/>
        </w:rPr>
      </w:pPr>
      <w:r w:rsidRPr="00EF08AA">
        <w:rPr>
          <w:rFonts w:asciiTheme="minorHAnsi" w:hAnsiTheme="minorHAnsi" w:cstheme="minorHAnsi"/>
        </w:rPr>
        <w:t>Mais qu’en est-il de la réaction du corps lorsque l’élément injecté via le vaccin n’est pas le pathogène lui-même mais de l’ARN messager ?</w:t>
      </w:r>
    </w:p>
    <w:tbl>
      <w:tblPr>
        <w:tblStyle w:val="Grilledutableau"/>
        <w:tblW w:w="15876" w:type="dxa"/>
        <w:tblInd w:w="250" w:type="dxa"/>
        <w:tblLayout w:type="fixed"/>
        <w:tblLook w:val="04A0"/>
      </w:tblPr>
      <w:tblGrid>
        <w:gridCol w:w="3686"/>
        <w:gridCol w:w="7938"/>
        <w:gridCol w:w="4252"/>
      </w:tblGrid>
      <w:tr w:rsidR="00EF08AA" w:rsidRPr="00EF08AA" w:rsidTr="007E0EAD">
        <w:trPr>
          <w:trHeight w:val="3437"/>
        </w:trPr>
        <w:tc>
          <w:tcPr>
            <w:tcW w:w="3686" w:type="dxa"/>
          </w:tcPr>
          <w:p w:rsidR="00EF08AA" w:rsidRPr="00EF08AA" w:rsidRDefault="001F4183" w:rsidP="007E0EAD">
            <w:pPr>
              <w:ind w:left="-142"/>
              <w:rPr>
                <w:rFonts w:asciiTheme="minorHAnsi" w:hAnsiTheme="minorHAnsi" w:cstheme="minorHAnsi"/>
              </w:rPr>
            </w:pPr>
            <w:r w:rsidRPr="00EF08AA">
              <w:rPr>
                <w:rFonts w:asciiTheme="minorHAnsi" w:hAnsiTheme="minorHAnsi" w:cstheme="minorHAnsi"/>
              </w:rPr>
              <w:object w:dxaOrig="4014"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208.55pt;height:203.75pt" o:ole="">
                  <v:imagedata r:id="rId5" o:title=""/>
                </v:shape>
                <o:OLEObject Type="Embed" ProgID="PBrush" ShapeID="_x0000_i1116" DrawAspect="Content" ObjectID="_1708693093" r:id="rId6"/>
              </w:object>
            </w:r>
          </w:p>
        </w:tc>
        <w:tc>
          <w:tcPr>
            <w:tcW w:w="7938" w:type="dxa"/>
          </w:tcPr>
          <w:p w:rsidR="00EF08AA" w:rsidRPr="00EF08AA" w:rsidRDefault="001F4183" w:rsidP="001F4183">
            <w:pPr>
              <w:rPr>
                <w:rFonts w:asciiTheme="minorHAnsi" w:hAnsiTheme="minorHAnsi" w:cstheme="minorHAnsi"/>
              </w:rPr>
            </w:pPr>
            <w:r w:rsidRPr="00EF08AA">
              <w:rPr>
                <w:rFonts w:asciiTheme="minorHAnsi" w:hAnsiTheme="minorHAnsi" w:cstheme="minorHAnsi"/>
              </w:rPr>
              <w:object w:dxaOrig="15135" w:dyaOrig="14295">
                <v:shape id="_x0000_i1117" type="#_x0000_t75" style="width:189.5pt;height:177.95pt" o:ole="">
                  <v:imagedata r:id="rId7" o:title=""/>
                </v:shape>
                <o:OLEObject Type="Embed" ProgID="PBrush" ShapeID="_x0000_i1117" DrawAspect="Content" ObjectID="_1708693094" r:id="rId8"/>
              </w:object>
            </w:r>
            <w:r w:rsidRPr="00EF08AA">
              <w:rPr>
                <w:rFonts w:asciiTheme="minorHAnsi" w:hAnsiTheme="minorHAnsi" w:cstheme="minorHAnsi"/>
              </w:rPr>
              <w:object w:dxaOrig="14085" w:dyaOrig="13305">
                <v:shape id="_x0000_i1118" type="#_x0000_t75" style="width:184.75pt;height:173.9pt" o:ole="">
                  <v:imagedata r:id="rId9" o:title=""/>
                </v:shape>
                <o:OLEObject Type="Embed" ProgID="PBrush" ShapeID="_x0000_i1118" DrawAspect="Content" ObjectID="_1708693095" r:id="rId10"/>
              </w:object>
            </w:r>
            <w:r w:rsidR="00EF08AA">
              <w:t xml:space="preserve"> </w:t>
            </w:r>
            <w:r w:rsidR="007E0EAD">
              <w:object w:dxaOrig="15675" w:dyaOrig="1755">
                <v:shape id="_x0000_i1120" type="#_x0000_t75" style="width:353.2pt;height:31.25pt" o:ole="">
                  <v:imagedata r:id="rId11" o:title="" cropbottom="13993f"/>
                </v:shape>
                <o:OLEObject Type="Embed" ProgID="PBrush" ShapeID="_x0000_i1120" DrawAspect="Content" ObjectID="_1708693096" r:id="rId12"/>
              </w:object>
            </w:r>
          </w:p>
        </w:tc>
        <w:tc>
          <w:tcPr>
            <w:tcW w:w="4252" w:type="dxa"/>
          </w:tcPr>
          <w:p w:rsidR="00EF08AA" w:rsidRPr="00EF08AA" w:rsidRDefault="007E0EAD" w:rsidP="007E0EAD">
            <w:pPr>
              <w:rPr>
                <w:rFonts w:asciiTheme="minorHAnsi" w:hAnsiTheme="minorHAnsi" w:cstheme="minorHAnsi"/>
              </w:rPr>
            </w:pPr>
            <w:r w:rsidRPr="00EF08AA">
              <w:rPr>
                <w:rFonts w:asciiTheme="minorHAnsi" w:hAnsiTheme="minorHAnsi" w:cstheme="minorHAnsi"/>
              </w:rPr>
              <w:object w:dxaOrig="14415" w:dyaOrig="13635">
                <v:shape id="_x0000_i1119" type="#_x0000_t75" style="width:189.5pt;height:179.3pt" o:ole="">
                  <v:imagedata r:id="rId13" o:title=""/>
                </v:shape>
                <o:OLEObject Type="Embed" ProgID="PBrush" ShapeID="_x0000_i1119" DrawAspect="Content" ObjectID="_1708693097" r:id="rId14"/>
              </w:object>
            </w:r>
          </w:p>
        </w:tc>
      </w:tr>
    </w:tbl>
    <w:p w:rsidR="00F07494" w:rsidRDefault="00F07494" w:rsidP="00503E14">
      <w:pPr>
        <w:spacing w:before="120" w:after="120"/>
        <w:jc w:val="center"/>
        <w:rPr>
          <w:rFonts w:asciiTheme="minorHAnsi" w:hAnsiTheme="minorHAnsi" w:cstheme="minorHAnsi"/>
          <w:b/>
        </w:rPr>
      </w:pPr>
      <w:r w:rsidRPr="00EF08AA">
        <w:rPr>
          <w:rFonts w:asciiTheme="minorHAnsi" w:hAnsiTheme="minorHAnsi" w:cstheme="minorHAnsi"/>
          <w:b/>
        </w:rPr>
        <w:t>On cherche à comprendre comment les vaccins à ARNm agissent sur notre corps en mettant en évidence leur nature, rôle et conséquences sur notre corps</w:t>
      </w:r>
    </w:p>
    <w:tbl>
      <w:tblPr>
        <w:tblStyle w:val="Grilledutableau"/>
        <w:tblW w:w="16126" w:type="dxa"/>
        <w:tblInd w:w="250" w:type="dxa"/>
        <w:tblLook w:val="04A0"/>
      </w:tblPr>
      <w:tblGrid>
        <w:gridCol w:w="6379"/>
        <w:gridCol w:w="5103"/>
        <w:gridCol w:w="4644"/>
      </w:tblGrid>
      <w:tr w:rsidR="000E37DD" w:rsidTr="00D532DB">
        <w:tc>
          <w:tcPr>
            <w:tcW w:w="16126" w:type="dxa"/>
            <w:gridSpan w:val="3"/>
          </w:tcPr>
          <w:p w:rsidR="000E37DD" w:rsidRDefault="000E37DD" w:rsidP="007E0EAD">
            <w:pPr>
              <w:jc w:val="center"/>
              <w:rPr>
                <w:rFonts w:asciiTheme="minorHAnsi" w:hAnsiTheme="minorHAnsi" w:cstheme="minorHAnsi"/>
                <w:b/>
              </w:rPr>
            </w:pPr>
            <w:r>
              <w:rPr>
                <w:rFonts w:asciiTheme="minorHAnsi" w:hAnsiTheme="minorHAnsi" w:cstheme="minorHAnsi"/>
                <w:b/>
              </w:rPr>
              <w:t>RESSOURCES</w:t>
            </w:r>
          </w:p>
        </w:tc>
      </w:tr>
      <w:tr w:rsidR="001F4183" w:rsidTr="001F4183">
        <w:tc>
          <w:tcPr>
            <w:tcW w:w="6379" w:type="dxa"/>
          </w:tcPr>
          <w:p w:rsidR="000E37DD" w:rsidRDefault="000E37DD" w:rsidP="00133D89">
            <w:pPr>
              <w:spacing w:before="120" w:after="120"/>
              <w:jc w:val="center"/>
              <w:rPr>
                <w:rFonts w:asciiTheme="minorHAnsi" w:hAnsiTheme="minorHAnsi" w:cstheme="minorHAnsi"/>
                <w:b/>
              </w:rPr>
            </w:pPr>
            <w:r w:rsidRPr="00133D89">
              <w:rPr>
                <w:rFonts w:asciiTheme="minorHAnsi" w:hAnsiTheme="minorHAnsi" w:cstheme="minorHAnsi"/>
                <w:b/>
                <w:u w:val="single"/>
              </w:rPr>
              <w:t>Doc 1 :</w:t>
            </w:r>
            <w:r>
              <w:rPr>
                <w:rFonts w:asciiTheme="minorHAnsi" w:hAnsiTheme="minorHAnsi" w:cstheme="minorHAnsi"/>
                <w:b/>
              </w:rPr>
              <w:t xml:space="preserve"> les 500 premiers nucléotides du code source à l’origine des informations contenues dans le vaccin à ARNm (par l’OMS)</w:t>
            </w:r>
            <w:r>
              <w:rPr>
                <w:noProof/>
                <w:lang w:eastAsia="fr-FR"/>
              </w:rPr>
              <w:drawing>
                <wp:inline distT="0" distB="0" distL="0" distR="0">
                  <wp:extent cx="3764359" cy="1915064"/>
                  <wp:effectExtent l="19050" t="0" r="7541" b="0"/>
                  <wp:docPr id="226" name="Image 226" descr="Les 500 premiers caractères de l’ARNm BNT162b2. Source: Organisation mondiale de la san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Les 500 premiers caractères de l’ARNm BNT162b2. Source: Organisation mondiale de la santé."/>
                          <pic:cNvPicPr>
                            <a:picLocks noChangeAspect="1" noChangeArrowheads="1"/>
                          </pic:cNvPicPr>
                        </pic:nvPicPr>
                        <pic:blipFill>
                          <a:blip r:embed="rId15"/>
                          <a:srcRect l="1701" t="5366" r="2786"/>
                          <a:stretch>
                            <a:fillRect/>
                          </a:stretch>
                        </pic:blipFill>
                        <pic:spPr bwMode="auto">
                          <a:xfrm>
                            <a:off x="0" y="0"/>
                            <a:ext cx="3774752" cy="1920351"/>
                          </a:xfrm>
                          <a:prstGeom prst="rect">
                            <a:avLst/>
                          </a:prstGeom>
                          <a:noFill/>
                          <a:ln w="9525">
                            <a:noFill/>
                            <a:miter lim="800000"/>
                            <a:headEnd/>
                            <a:tailEnd/>
                          </a:ln>
                        </pic:spPr>
                      </pic:pic>
                    </a:graphicData>
                  </a:graphic>
                </wp:inline>
              </w:drawing>
            </w:r>
          </w:p>
        </w:tc>
        <w:tc>
          <w:tcPr>
            <w:tcW w:w="5103" w:type="dxa"/>
            <w:tcBorders>
              <w:right w:val="nil"/>
            </w:tcBorders>
            <w:shd w:val="clear" w:color="auto" w:fill="F2F2F2" w:themeFill="background1" w:themeFillShade="F2"/>
            <w:vAlign w:val="center"/>
          </w:tcPr>
          <w:p w:rsidR="000E37DD" w:rsidRPr="00D532DB" w:rsidRDefault="000E37DD" w:rsidP="007E0EAD">
            <w:pPr>
              <w:spacing w:before="120" w:after="120"/>
              <w:rPr>
                <w:rFonts w:asciiTheme="minorHAnsi" w:hAnsiTheme="minorHAnsi" w:cstheme="minorHAnsi"/>
                <w:sz w:val="22"/>
                <w:szCs w:val="22"/>
                <w:shd w:val="clear" w:color="auto" w:fill="F4F4F4"/>
              </w:rPr>
            </w:pPr>
            <w:r w:rsidRPr="00D532DB">
              <w:rPr>
                <w:rFonts w:asciiTheme="minorHAnsi" w:hAnsiTheme="minorHAnsi" w:cstheme="minorHAnsi"/>
                <w:sz w:val="22"/>
                <w:szCs w:val="22"/>
                <w:shd w:val="clear" w:color="auto" w:fill="F4F4F4"/>
              </w:rPr>
              <w:t>Au commencement du processus de production du vaccin, quelqu’un a téléchargé ce code dans une imprimante à ADN, qui a produit des molécules d’ADN bien réelles à partir de ces données numériques.</w:t>
            </w:r>
          </w:p>
          <w:p w:rsidR="000E37DD" w:rsidRDefault="000E37DD" w:rsidP="007E0EAD">
            <w:pPr>
              <w:spacing w:before="120" w:after="120"/>
              <w:rPr>
                <w:rFonts w:asciiTheme="minorHAnsi" w:hAnsiTheme="minorHAnsi" w:cstheme="minorHAnsi"/>
                <w:sz w:val="22"/>
                <w:szCs w:val="22"/>
                <w:shd w:val="clear" w:color="auto" w:fill="F4F4F4"/>
              </w:rPr>
            </w:pPr>
            <w:r w:rsidRPr="00D532DB">
              <w:rPr>
                <w:rFonts w:asciiTheme="minorHAnsi" w:hAnsiTheme="minorHAnsi" w:cstheme="minorHAnsi"/>
                <w:sz w:val="22"/>
                <w:szCs w:val="22"/>
                <w:shd w:val="clear" w:color="auto" w:fill="F4F4F4"/>
              </w:rPr>
              <w:t>Cette machine sort de minuscules quantités d’ADN qui, après de nombreux traitements biologiques et chimiques, finissent sous forme d’ARN  dans un flacon de vaccin. Une dose de 30 microgrammes contient de fait 30 microgrammes d’ARN.</w:t>
            </w:r>
          </w:p>
          <w:p w:rsidR="00D532DB" w:rsidRPr="00D532DB" w:rsidRDefault="00D532DB" w:rsidP="007E0EAD">
            <w:pPr>
              <w:spacing w:before="120" w:after="120"/>
              <w:rPr>
                <w:rFonts w:asciiTheme="minorHAnsi" w:hAnsiTheme="minorHAnsi" w:cstheme="minorHAnsi"/>
                <w:b/>
                <w:sz w:val="22"/>
                <w:szCs w:val="22"/>
              </w:rPr>
            </w:pPr>
            <w:r>
              <w:rPr>
                <w:rFonts w:ascii="Georgia" w:hAnsi="Georgia"/>
                <w:color w:val="555555"/>
                <w:shd w:val="clear" w:color="auto" w:fill="F4F4F4"/>
              </w:rPr>
              <w:t>Traduction par </w:t>
            </w:r>
            <w:hyperlink r:id="rId16" w:history="1">
              <w:r>
                <w:rPr>
                  <w:rStyle w:val="Lienhypertexte"/>
                  <w:rFonts w:ascii="Georgia" w:hAnsi="Georgia"/>
                  <w:color w:val="357EDD"/>
                  <w:shd w:val="clear" w:color="auto" w:fill="F4F4F4"/>
                </w:rPr>
                <w:t>Renaud Guérin</w:t>
              </w:r>
            </w:hyperlink>
            <w:r>
              <w:rPr>
                <w:rFonts w:ascii="Georgia" w:hAnsi="Georgia"/>
                <w:color w:val="555555"/>
                <w:shd w:val="clear" w:color="auto" w:fill="F4F4F4"/>
              </w:rPr>
              <w:t> de </w:t>
            </w:r>
            <w:hyperlink r:id="rId17" w:history="1">
              <w:r>
                <w:rPr>
                  <w:rStyle w:val="Lienhypertexte"/>
                  <w:rFonts w:ascii="Georgia" w:hAnsi="Georgia"/>
                  <w:color w:val="96CCFF"/>
                  <w:shd w:val="clear" w:color="auto" w:fill="F4F4F4"/>
                </w:rPr>
                <w:t>l’article original de Bert Hubert</w:t>
              </w:r>
            </w:hyperlink>
          </w:p>
        </w:tc>
        <w:tc>
          <w:tcPr>
            <w:tcW w:w="4644" w:type="dxa"/>
            <w:tcBorders>
              <w:left w:val="nil"/>
            </w:tcBorders>
          </w:tcPr>
          <w:p w:rsidR="000E37DD" w:rsidRDefault="00D532DB" w:rsidP="00503E14">
            <w:pPr>
              <w:spacing w:before="120" w:after="120"/>
              <w:jc w:val="center"/>
              <w:rPr>
                <w:rFonts w:asciiTheme="minorHAnsi" w:hAnsiTheme="minorHAnsi" w:cstheme="minorHAnsi"/>
                <w:b/>
              </w:rPr>
            </w:pPr>
            <w:r>
              <w:rPr>
                <w:noProof/>
                <w:lang w:eastAsia="fr-FR"/>
              </w:rPr>
              <w:drawing>
                <wp:inline distT="0" distB="0" distL="0" distR="0">
                  <wp:extent cx="2781995" cy="1811547"/>
                  <wp:effectExtent l="19050" t="0" r="0" b="0"/>
                  <wp:docPr id="229" name="Image 229" descr="Une imprimante à ADN Codex DNA BioXp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Une imprimante à ADN Codex DNA BioXp 3200"/>
                          <pic:cNvPicPr>
                            <a:picLocks noChangeAspect="1" noChangeArrowheads="1"/>
                          </pic:cNvPicPr>
                        </pic:nvPicPr>
                        <pic:blipFill>
                          <a:blip r:embed="rId18"/>
                          <a:srcRect r="5485" b="5745"/>
                          <a:stretch>
                            <a:fillRect/>
                          </a:stretch>
                        </pic:blipFill>
                        <pic:spPr bwMode="auto">
                          <a:xfrm>
                            <a:off x="0" y="0"/>
                            <a:ext cx="2781995" cy="1811547"/>
                          </a:xfrm>
                          <a:prstGeom prst="rect">
                            <a:avLst/>
                          </a:prstGeom>
                          <a:noFill/>
                          <a:ln w="9525">
                            <a:noFill/>
                            <a:miter lim="800000"/>
                            <a:headEnd/>
                            <a:tailEnd/>
                          </a:ln>
                        </pic:spPr>
                      </pic:pic>
                    </a:graphicData>
                  </a:graphic>
                </wp:inline>
              </w:drawing>
            </w:r>
          </w:p>
          <w:p w:rsidR="00D532DB" w:rsidRPr="00D532DB" w:rsidRDefault="00D532DB" w:rsidP="00503E14">
            <w:pPr>
              <w:spacing w:before="120" w:after="120"/>
              <w:jc w:val="center"/>
              <w:rPr>
                <w:rFonts w:asciiTheme="minorHAnsi" w:hAnsiTheme="minorHAnsi" w:cstheme="minorHAnsi"/>
                <w:b/>
                <w:sz w:val="22"/>
                <w:szCs w:val="22"/>
              </w:rPr>
            </w:pPr>
            <w:r w:rsidRPr="00D532DB">
              <w:rPr>
                <w:rStyle w:val="Accentuation"/>
                <w:rFonts w:asciiTheme="minorHAnsi" w:hAnsiTheme="minorHAnsi" w:cstheme="minorHAnsi"/>
                <w:color w:val="555555"/>
                <w:sz w:val="22"/>
                <w:szCs w:val="22"/>
                <w:shd w:val="clear" w:color="auto" w:fill="F4F4F4"/>
              </w:rPr>
              <w:t>Une imprimante à ADN</w:t>
            </w:r>
            <w:r w:rsidRPr="00D532DB">
              <w:rPr>
                <w:rFonts w:asciiTheme="minorHAnsi" w:hAnsiTheme="minorHAnsi" w:cstheme="minorHAnsi"/>
                <w:color w:val="555555"/>
                <w:sz w:val="22"/>
                <w:szCs w:val="22"/>
                <w:shd w:val="clear" w:color="auto" w:fill="F4F4F4"/>
              </w:rPr>
              <w:t> </w:t>
            </w:r>
            <w:hyperlink r:id="rId19" w:history="1">
              <w:r w:rsidRPr="00D532DB">
                <w:rPr>
                  <w:rStyle w:val="Accentuation"/>
                  <w:rFonts w:asciiTheme="minorHAnsi" w:hAnsiTheme="minorHAnsi" w:cstheme="minorHAnsi"/>
                  <w:color w:val="357EDD"/>
                  <w:sz w:val="22"/>
                  <w:szCs w:val="22"/>
                  <w:u w:val="single"/>
                  <w:shd w:val="clear" w:color="auto" w:fill="F4F4F4"/>
                </w:rPr>
                <w:t>Codex DNA</w:t>
              </w:r>
            </w:hyperlink>
            <w:r w:rsidRPr="00D532DB">
              <w:rPr>
                <w:rFonts w:asciiTheme="minorHAnsi" w:hAnsiTheme="minorHAnsi" w:cstheme="minorHAnsi"/>
                <w:color w:val="555555"/>
                <w:sz w:val="22"/>
                <w:szCs w:val="22"/>
                <w:shd w:val="clear" w:color="auto" w:fill="F4F4F4"/>
              </w:rPr>
              <w:t> </w:t>
            </w:r>
            <w:proofErr w:type="spellStart"/>
            <w:r w:rsidRPr="00D532DB">
              <w:rPr>
                <w:rStyle w:val="Accentuation"/>
                <w:rFonts w:asciiTheme="minorHAnsi" w:hAnsiTheme="minorHAnsi" w:cstheme="minorHAnsi"/>
                <w:color w:val="555555"/>
                <w:sz w:val="22"/>
                <w:szCs w:val="22"/>
                <w:shd w:val="clear" w:color="auto" w:fill="F4F4F4"/>
              </w:rPr>
              <w:t>BioXp</w:t>
            </w:r>
            <w:proofErr w:type="spellEnd"/>
            <w:r w:rsidRPr="00D532DB">
              <w:rPr>
                <w:rStyle w:val="Accentuation"/>
                <w:rFonts w:asciiTheme="minorHAnsi" w:hAnsiTheme="minorHAnsi" w:cstheme="minorHAnsi"/>
                <w:color w:val="555555"/>
                <w:sz w:val="22"/>
                <w:szCs w:val="22"/>
                <w:shd w:val="clear" w:color="auto" w:fill="F4F4F4"/>
              </w:rPr>
              <w:t xml:space="preserve"> 3200</w:t>
            </w:r>
          </w:p>
        </w:tc>
      </w:tr>
    </w:tbl>
    <w:p w:rsidR="009D2579" w:rsidRDefault="009D2579" w:rsidP="007E0EAD">
      <w:pPr>
        <w:spacing w:before="120"/>
        <w:rPr>
          <w:rFonts w:asciiTheme="minorHAnsi" w:hAnsiTheme="minorHAnsi" w:cstheme="minorHAnsi"/>
          <w:b/>
        </w:rPr>
      </w:pPr>
    </w:p>
    <w:p w:rsidR="009D2579" w:rsidRDefault="009D2579" w:rsidP="007E0EAD">
      <w:pPr>
        <w:spacing w:before="120"/>
        <w:rPr>
          <w:rFonts w:asciiTheme="minorHAnsi" w:hAnsiTheme="minorHAnsi" w:cstheme="minorHAnsi"/>
          <w:b/>
        </w:rPr>
      </w:pPr>
    </w:p>
    <w:p w:rsidR="000E37DD" w:rsidRPr="009D2579" w:rsidRDefault="00D532DB" w:rsidP="007E0EAD">
      <w:pPr>
        <w:spacing w:before="120"/>
        <w:rPr>
          <w:rFonts w:asciiTheme="minorHAnsi" w:hAnsiTheme="minorHAnsi" w:cstheme="minorHAnsi"/>
          <w:b/>
          <w:u w:val="single"/>
        </w:rPr>
      </w:pPr>
      <w:r w:rsidRPr="009D2579">
        <w:rPr>
          <w:rFonts w:asciiTheme="minorHAnsi" w:hAnsiTheme="minorHAnsi" w:cstheme="minorHAnsi"/>
          <w:b/>
          <w:u w:val="single"/>
        </w:rPr>
        <w:t>Activités proposées :</w:t>
      </w:r>
    </w:p>
    <w:p w:rsidR="009D2579" w:rsidRDefault="009D2579" w:rsidP="007E0EAD">
      <w:pPr>
        <w:spacing w:before="120"/>
        <w:rPr>
          <w:rFonts w:asciiTheme="minorHAnsi" w:hAnsiTheme="minorHAnsi" w:cstheme="minorHAnsi"/>
          <w:b/>
        </w:rPr>
      </w:pPr>
    </w:p>
    <w:p w:rsidR="007E0EAD" w:rsidRPr="001F4183" w:rsidRDefault="007E0EAD" w:rsidP="009D2579">
      <w:pPr>
        <w:pStyle w:val="Paragraphedeliste"/>
        <w:numPr>
          <w:ilvl w:val="0"/>
          <w:numId w:val="1"/>
        </w:numPr>
        <w:spacing w:after="120"/>
        <w:ind w:left="714" w:hanging="357"/>
        <w:rPr>
          <w:rFonts w:asciiTheme="minorHAnsi" w:hAnsiTheme="minorHAnsi" w:cstheme="minorHAnsi"/>
          <w:b/>
        </w:rPr>
      </w:pPr>
      <w:r>
        <w:rPr>
          <w:rFonts w:asciiTheme="minorHAnsi" w:hAnsiTheme="minorHAnsi" w:cstheme="minorHAnsi"/>
          <w:b/>
        </w:rPr>
        <w:t>Utilisez</w:t>
      </w:r>
      <w:r>
        <w:rPr>
          <w:rFonts w:asciiTheme="minorHAnsi" w:hAnsiTheme="minorHAnsi" w:cstheme="minorHAnsi"/>
        </w:rPr>
        <w:t xml:space="preserve"> les fonctionnalités de logiciels de traitements de données pour comprendre les structures des molécules d’ADN initiale et d’ARN finale à la sortie de l’imprimante.</w:t>
      </w:r>
    </w:p>
    <w:p w:rsidR="001F4183" w:rsidRPr="007E0EAD" w:rsidRDefault="001F4183" w:rsidP="001F4183">
      <w:pPr>
        <w:pStyle w:val="Paragraphedeliste"/>
        <w:spacing w:after="120"/>
        <w:ind w:left="714"/>
        <w:rPr>
          <w:rFonts w:asciiTheme="minorHAnsi" w:hAnsiTheme="minorHAnsi" w:cstheme="minorHAnsi"/>
          <w:b/>
        </w:rPr>
      </w:pPr>
    </w:p>
    <w:p w:rsidR="007E0EAD" w:rsidRPr="007E0EAD" w:rsidRDefault="007E0EAD" w:rsidP="009D2579">
      <w:pPr>
        <w:pStyle w:val="Paragraphedeliste"/>
        <w:numPr>
          <w:ilvl w:val="0"/>
          <w:numId w:val="1"/>
        </w:numPr>
        <w:spacing w:before="120" w:after="120"/>
        <w:ind w:left="714" w:hanging="357"/>
        <w:rPr>
          <w:rFonts w:asciiTheme="minorHAnsi" w:hAnsiTheme="minorHAnsi" w:cstheme="minorHAnsi"/>
          <w:b/>
        </w:rPr>
      </w:pPr>
      <w:r>
        <w:rPr>
          <w:rFonts w:asciiTheme="minorHAnsi" w:hAnsiTheme="minorHAnsi" w:cstheme="minorHAnsi"/>
          <w:b/>
        </w:rPr>
        <w:t>Comprendre</w:t>
      </w:r>
      <w:r>
        <w:rPr>
          <w:rFonts w:asciiTheme="minorHAnsi" w:hAnsiTheme="minorHAnsi" w:cstheme="minorHAnsi"/>
        </w:rPr>
        <w:t xml:space="preserve"> comment les informations contenues dans le vaccin peuvent mener à une réaction de l’organisme.</w:t>
      </w:r>
    </w:p>
    <w:p w:rsidR="009D2579" w:rsidRPr="008B1187" w:rsidRDefault="009D2579" w:rsidP="009D2579">
      <w:pPr>
        <w:pStyle w:val="NormalWeb"/>
        <w:shd w:val="clear" w:color="auto" w:fill="FFFFFF"/>
        <w:spacing w:before="0" w:beforeAutospacing="0" w:after="0" w:afterAutospacing="0"/>
        <w:ind w:left="360"/>
        <w:rPr>
          <w:rFonts w:asciiTheme="minorHAnsi" w:hAnsiTheme="minorHAnsi" w:cstheme="minorHAnsi"/>
          <w:sz w:val="22"/>
          <w:szCs w:val="22"/>
        </w:rPr>
      </w:pPr>
      <w:r w:rsidRPr="008B1187">
        <w:rPr>
          <w:rFonts w:asciiTheme="minorHAnsi" w:hAnsiTheme="minorHAnsi" w:cstheme="minorHAnsi"/>
          <w:sz w:val="22"/>
          <w:szCs w:val="22"/>
        </w:rPr>
        <w:t xml:space="preserve">Produit par les laboratoires </w:t>
      </w:r>
      <w:proofErr w:type="spellStart"/>
      <w:r w:rsidRPr="008B1187">
        <w:rPr>
          <w:rFonts w:asciiTheme="minorHAnsi" w:hAnsiTheme="minorHAnsi" w:cstheme="minorHAnsi"/>
          <w:sz w:val="22"/>
          <w:szCs w:val="22"/>
        </w:rPr>
        <w:t>BioNTech</w:t>
      </w:r>
      <w:proofErr w:type="spellEnd"/>
      <w:r w:rsidRPr="008B1187">
        <w:rPr>
          <w:rFonts w:asciiTheme="minorHAnsi" w:hAnsiTheme="minorHAnsi" w:cstheme="minorHAnsi"/>
          <w:sz w:val="22"/>
          <w:szCs w:val="22"/>
        </w:rPr>
        <w:t xml:space="preserve">-Pfizer et mis en pratique dès décembre 2020, le vaccin BNT162B2, aussi appelé  </w:t>
      </w:r>
      <w:proofErr w:type="spellStart"/>
      <w:r w:rsidRPr="008B1187">
        <w:rPr>
          <w:rFonts w:asciiTheme="minorHAnsi" w:hAnsiTheme="minorHAnsi" w:cstheme="minorHAnsi"/>
          <w:sz w:val="22"/>
          <w:szCs w:val="22"/>
        </w:rPr>
        <w:t>Tozinaméran</w:t>
      </w:r>
      <w:proofErr w:type="spellEnd"/>
      <w:r w:rsidRPr="008B1187">
        <w:rPr>
          <w:rFonts w:asciiTheme="minorHAnsi" w:hAnsiTheme="minorHAnsi" w:cstheme="minorHAnsi"/>
          <w:sz w:val="22"/>
          <w:szCs w:val="22"/>
        </w:rPr>
        <w:t xml:space="preserve"> ou </w:t>
      </w:r>
      <w:proofErr w:type="spellStart"/>
      <w:r w:rsidRPr="008B1187">
        <w:rPr>
          <w:rFonts w:asciiTheme="minorHAnsi" w:hAnsiTheme="minorHAnsi" w:cstheme="minorHAnsi"/>
          <w:sz w:val="22"/>
          <w:szCs w:val="22"/>
        </w:rPr>
        <w:t>Comirnaty</w:t>
      </w:r>
      <w:proofErr w:type="spellEnd"/>
      <w:r w:rsidRPr="008B1187">
        <w:rPr>
          <w:rFonts w:asciiTheme="minorHAnsi" w:hAnsiTheme="minorHAnsi" w:cstheme="minorHAnsi"/>
          <w:sz w:val="22"/>
          <w:szCs w:val="22"/>
        </w:rPr>
        <w:t>, contient essentiellement des molécules d’ARN messager apprêtées pour pénétrer dans les cellules (il est encapsulé dans des nanoparticules lipidiques).</w:t>
      </w:r>
    </w:p>
    <w:p w:rsidR="009D2579" w:rsidRDefault="009D2579" w:rsidP="009D2579">
      <w:pPr>
        <w:pStyle w:val="Paragraphedeliste"/>
      </w:pPr>
    </w:p>
    <w:tbl>
      <w:tblPr>
        <w:tblStyle w:val="Grilledutableau"/>
        <w:tblW w:w="0" w:type="auto"/>
        <w:tblInd w:w="250" w:type="dxa"/>
        <w:tblLook w:val="04A0"/>
      </w:tblPr>
      <w:tblGrid>
        <w:gridCol w:w="4126"/>
        <w:gridCol w:w="4023"/>
        <w:gridCol w:w="3996"/>
        <w:gridCol w:w="3887"/>
      </w:tblGrid>
      <w:tr w:rsidR="009D2579" w:rsidTr="001F4183">
        <w:tc>
          <w:tcPr>
            <w:tcW w:w="4126" w:type="dxa"/>
          </w:tcPr>
          <w:p w:rsidR="009D2579" w:rsidRDefault="001F4183" w:rsidP="00443FAA">
            <w:r>
              <w:object w:dxaOrig="14535" w:dyaOrig="13935">
                <v:shape id="_x0000_i1276" type="#_x0000_t75" style="width:195.6pt;height:187.45pt" o:ole="">
                  <v:imagedata r:id="rId20" o:title=""/>
                </v:shape>
                <o:OLEObject Type="Embed" ProgID="PBrush" ShapeID="_x0000_i1276" DrawAspect="Content" ObjectID="_1708693098" r:id="rId21"/>
              </w:object>
            </w:r>
          </w:p>
        </w:tc>
        <w:tc>
          <w:tcPr>
            <w:tcW w:w="4023" w:type="dxa"/>
          </w:tcPr>
          <w:p w:rsidR="009D2579" w:rsidRDefault="001F4183" w:rsidP="00443FAA">
            <w:r>
              <w:object w:dxaOrig="13995" w:dyaOrig="13095">
                <v:shape id="_x0000_i1277" type="#_x0000_t75" style="width:190.2pt;height:177.95pt" o:ole="">
                  <v:imagedata r:id="rId22" o:title=""/>
                </v:shape>
                <o:OLEObject Type="Embed" ProgID="PBrush" ShapeID="_x0000_i1277" DrawAspect="Content" ObjectID="_1708693099" r:id="rId23"/>
              </w:object>
            </w:r>
          </w:p>
        </w:tc>
        <w:tc>
          <w:tcPr>
            <w:tcW w:w="3996" w:type="dxa"/>
          </w:tcPr>
          <w:p w:rsidR="009D2579" w:rsidRDefault="001F4183" w:rsidP="00443FAA">
            <w:r>
              <w:object w:dxaOrig="13695" w:dyaOrig="13035">
                <v:shape id="_x0000_i1278" type="#_x0000_t75" style="width:188.85pt;height:179.3pt" o:ole="">
                  <v:imagedata r:id="rId24" o:title=""/>
                </v:shape>
                <o:OLEObject Type="Embed" ProgID="PBrush" ShapeID="_x0000_i1278" DrawAspect="Content" ObjectID="_1708693100" r:id="rId25"/>
              </w:object>
            </w:r>
          </w:p>
        </w:tc>
        <w:tc>
          <w:tcPr>
            <w:tcW w:w="3818" w:type="dxa"/>
          </w:tcPr>
          <w:p w:rsidR="009D2579" w:rsidRDefault="001F4183" w:rsidP="00443FAA">
            <w:r>
              <w:object w:dxaOrig="13905" w:dyaOrig="13095">
                <v:shape id="_x0000_i1279" type="#_x0000_t75" style="width:183.4pt;height:173.2pt" o:ole="">
                  <v:imagedata r:id="rId26" o:title=""/>
                </v:shape>
                <o:OLEObject Type="Embed" ProgID="PBrush" ShapeID="_x0000_i1279" DrawAspect="Content" ObjectID="_1708693101" r:id="rId27"/>
              </w:object>
            </w:r>
          </w:p>
        </w:tc>
      </w:tr>
      <w:tr w:rsidR="009D2579" w:rsidTr="001F4183">
        <w:tc>
          <w:tcPr>
            <w:tcW w:w="4126" w:type="dxa"/>
          </w:tcPr>
          <w:p w:rsidR="009D2579" w:rsidRDefault="009D2579" w:rsidP="00443FAA">
            <w:r>
              <w:object w:dxaOrig="13785" w:dyaOrig="13095">
                <v:shape id="_x0000_i1280" type="#_x0000_t75" style="width:186.1pt;height:177.3pt" o:ole="">
                  <v:imagedata r:id="rId28" o:title=""/>
                </v:shape>
                <o:OLEObject Type="Embed" ProgID="PBrush" ShapeID="_x0000_i1280" DrawAspect="Content" ObjectID="_1708693102" r:id="rId29"/>
              </w:object>
            </w:r>
          </w:p>
        </w:tc>
        <w:tc>
          <w:tcPr>
            <w:tcW w:w="4023" w:type="dxa"/>
          </w:tcPr>
          <w:p w:rsidR="009D2579" w:rsidRDefault="009D2579" w:rsidP="00443FAA">
            <w:r>
              <w:object w:dxaOrig="14235" w:dyaOrig="13335">
                <v:shape id="_x0000_i1317" type="#_x0000_t75" style="width:190.2pt;height:177.95pt" o:ole="">
                  <v:imagedata r:id="rId30" o:title=""/>
                </v:shape>
                <o:OLEObject Type="Embed" ProgID="PBrush" ShapeID="_x0000_i1317" DrawAspect="Content" ObjectID="_1708693103" r:id="rId31"/>
              </w:object>
            </w:r>
          </w:p>
        </w:tc>
        <w:tc>
          <w:tcPr>
            <w:tcW w:w="3996" w:type="dxa"/>
          </w:tcPr>
          <w:p w:rsidR="009D2579" w:rsidRDefault="009D2579" w:rsidP="00443FAA">
            <w:r>
              <w:object w:dxaOrig="13905" w:dyaOrig="13155">
                <v:shape id="_x0000_i1346" type="#_x0000_t75" style="width:184.75pt;height:174.55pt" o:ole="">
                  <v:imagedata r:id="rId32" o:title=""/>
                </v:shape>
                <o:OLEObject Type="Embed" ProgID="PBrush" ShapeID="_x0000_i1346" DrawAspect="Content" ObjectID="_1708693104" r:id="rId33"/>
              </w:object>
            </w:r>
          </w:p>
        </w:tc>
        <w:tc>
          <w:tcPr>
            <w:tcW w:w="3818" w:type="dxa"/>
          </w:tcPr>
          <w:p w:rsidR="009D2579" w:rsidRDefault="009D2579" w:rsidP="00443FAA"/>
        </w:tc>
      </w:tr>
    </w:tbl>
    <w:p w:rsidR="007E0EAD" w:rsidRDefault="007E0EAD" w:rsidP="007E0EAD">
      <w:pPr>
        <w:spacing w:before="120" w:after="120"/>
        <w:rPr>
          <w:rFonts w:asciiTheme="minorHAnsi" w:hAnsiTheme="minorHAnsi" w:cstheme="minorHAnsi"/>
          <w:b/>
        </w:rPr>
      </w:pPr>
    </w:p>
    <w:p w:rsidR="001F4183" w:rsidRDefault="001F4183" w:rsidP="001F4183">
      <w:pPr>
        <w:pStyle w:val="NormalWeb"/>
        <w:shd w:val="clear" w:color="auto" w:fill="FFFFFF"/>
        <w:spacing w:before="120" w:beforeAutospacing="0" w:after="0" w:afterAutospacing="0"/>
        <w:ind w:left="720"/>
        <w:jc w:val="center"/>
        <w:rPr>
          <w:rFonts w:asciiTheme="minorHAnsi" w:hAnsiTheme="minorHAnsi" w:cstheme="minorHAnsi"/>
          <w:sz w:val="22"/>
          <w:szCs w:val="22"/>
        </w:rPr>
      </w:pPr>
      <w:r w:rsidRPr="008B1187">
        <w:rPr>
          <w:rFonts w:asciiTheme="minorHAnsi" w:hAnsiTheme="minorHAnsi" w:cstheme="minorHAnsi"/>
          <w:sz w:val="22"/>
          <w:szCs w:val="22"/>
        </w:rPr>
        <w:t>Comprendre ce vaccin c’est avant tout comprendre l’information contenue sur cet ARN messager, et le produit de son expression.</w:t>
      </w:r>
    </w:p>
    <w:p w:rsidR="009D2579" w:rsidRDefault="009D2579" w:rsidP="007E0EAD">
      <w:pPr>
        <w:spacing w:before="120" w:after="120"/>
        <w:rPr>
          <w:rFonts w:asciiTheme="minorHAnsi" w:hAnsiTheme="minorHAnsi" w:cstheme="minorHAnsi"/>
          <w:b/>
        </w:rPr>
      </w:pPr>
    </w:p>
    <w:p w:rsidR="009D2579" w:rsidRDefault="009D2579" w:rsidP="007E0EAD">
      <w:pPr>
        <w:spacing w:before="120" w:after="120"/>
        <w:rPr>
          <w:rFonts w:asciiTheme="minorHAnsi" w:hAnsiTheme="minorHAnsi" w:cstheme="minorHAnsi"/>
          <w:b/>
        </w:rPr>
      </w:pPr>
    </w:p>
    <w:p w:rsidR="009D2579" w:rsidRDefault="009D2579" w:rsidP="007E0EAD">
      <w:pPr>
        <w:spacing w:before="120" w:after="120"/>
        <w:rPr>
          <w:rFonts w:asciiTheme="minorHAnsi" w:hAnsiTheme="minorHAnsi" w:cstheme="minorHAnsi"/>
          <w:b/>
        </w:rPr>
        <w:sectPr w:rsidR="009D2579" w:rsidSect="007E0EAD">
          <w:pgSz w:w="16838" w:h="11906" w:orient="landscape" w:code="9"/>
          <w:pgMar w:top="142" w:right="253" w:bottom="142" w:left="284" w:header="709" w:footer="709" w:gutter="0"/>
          <w:cols w:space="708"/>
          <w:docGrid w:linePitch="360"/>
        </w:sectPr>
      </w:pPr>
    </w:p>
    <w:p w:rsidR="008B1187" w:rsidRPr="0078647D" w:rsidRDefault="001F4183" w:rsidP="0078647D">
      <w:pPr>
        <w:spacing w:before="120" w:after="120"/>
        <w:rPr>
          <w:rFonts w:asciiTheme="minorHAnsi" w:hAnsiTheme="minorHAnsi" w:cstheme="minorHAnsi"/>
          <w:b/>
        </w:rPr>
      </w:pPr>
      <w:r>
        <w:rPr>
          <w:rFonts w:asciiTheme="minorHAnsi" w:hAnsiTheme="minorHAnsi" w:cstheme="minorHAnsi"/>
          <w:b/>
        </w:rPr>
        <w:lastRenderedPageBreak/>
        <w:t>Aide à la réalisation</w:t>
      </w:r>
    </w:p>
    <w:p w:rsidR="00825A9A" w:rsidRPr="00825A9A" w:rsidRDefault="00825A9A" w:rsidP="00825A9A">
      <w:pPr>
        <w:pStyle w:val="NormalWeb"/>
        <w:shd w:val="clear" w:color="auto" w:fill="A6A6A6"/>
        <w:spacing w:before="0" w:beforeAutospacing="0" w:after="0" w:afterAutospacing="0"/>
        <w:jc w:val="center"/>
        <w:rPr>
          <w:rStyle w:val="Accentuation"/>
          <w:rFonts w:asciiTheme="minorHAnsi" w:eastAsia="Calibri" w:hAnsiTheme="minorHAnsi" w:cstheme="minorHAnsi"/>
          <w:b/>
          <w:bCs/>
          <w:sz w:val="22"/>
          <w:szCs w:val="22"/>
        </w:rPr>
      </w:pPr>
      <w:r w:rsidRPr="00825A9A">
        <w:rPr>
          <w:rStyle w:val="Accentuation"/>
          <w:rFonts w:asciiTheme="minorHAnsi" w:eastAsia="Calibri" w:hAnsiTheme="minorHAnsi" w:cstheme="minorHAnsi"/>
          <w:b/>
          <w:bCs/>
          <w:sz w:val="22"/>
          <w:szCs w:val="22"/>
        </w:rPr>
        <w:t>Atelier 1 </w:t>
      </w:r>
      <w:proofErr w:type="gramStart"/>
      <w:r w:rsidRPr="00825A9A">
        <w:rPr>
          <w:rStyle w:val="Accentuation"/>
          <w:rFonts w:asciiTheme="minorHAnsi" w:eastAsia="Calibri" w:hAnsiTheme="minorHAnsi" w:cstheme="minorHAnsi"/>
          <w:b/>
          <w:bCs/>
          <w:sz w:val="22"/>
          <w:szCs w:val="22"/>
        </w:rPr>
        <w:t>:ADN</w:t>
      </w:r>
      <w:proofErr w:type="gramEnd"/>
      <w:r w:rsidRPr="00825A9A">
        <w:rPr>
          <w:rStyle w:val="Accentuation"/>
          <w:rFonts w:asciiTheme="minorHAnsi" w:eastAsia="Calibri" w:hAnsiTheme="minorHAnsi" w:cstheme="minorHAnsi"/>
          <w:b/>
          <w:bCs/>
          <w:sz w:val="22"/>
          <w:szCs w:val="22"/>
        </w:rPr>
        <w:t xml:space="preserve"> et ARN deux molécules informatives</w:t>
      </w:r>
    </w:p>
    <w:p w:rsidR="00825A9A" w:rsidRPr="00825A9A" w:rsidRDefault="00825A9A" w:rsidP="00825A9A">
      <w:pPr>
        <w:numPr>
          <w:ilvl w:val="0"/>
          <w:numId w:val="2"/>
        </w:numPr>
        <w:suppressAutoHyphens w:val="0"/>
        <w:spacing w:before="120" w:line="276" w:lineRule="auto"/>
        <w:ind w:left="426" w:hanging="357"/>
        <w:rPr>
          <w:rFonts w:asciiTheme="minorHAnsi" w:hAnsiTheme="minorHAnsi" w:cstheme="minorHAnsi"/>
          <w:sz w:val="22"/>
          <w:szCs w:val="22"/>
        </w:rPr>
      </w:pPr>
      <w:r w:rsidRPr="00825A9A">
        <w:rPr>
          <w:rFonts w:asciiTheme="minorHAnsi" w:hAnsiTheme="minorHAnsi" w:cstheme="minorHAnsi"/>
          <w:sz w:val="22"/>
          <w:szCs w:val="22"/>
        </w:rPr>
        <w:t>Utilisez les foncti</w:t>
      </w:r>
      <w:r>
        <w:rPr>
          <w:rFonts w:asciiTheme="minorHAnsi" w:hAnsiTheme="minorHAnsi" w:cstheme="minorHAnsi"/>
          <w:sz w:val="22"/>
          <w:szCs w:val="22"/>
        </w:rPr>
        <w:t xml:space="preserve">onnalités de l’animation proposée sur </w:t>
      </w:r>
      <w:proofErr w:type="spellStart"/>
      <w:r>
        <w:rPr>
          <w:rFonts w:asciiTheme="minorHAnsi" w:hAnsiTheme="minorHAnsi" w:cstheme="minorHAnsi"/>
          <w:sz w:val="22"/>
          <w:szCs w:val="22"/>
        </w:rPr>
        <w:t>classroom</w:t>
      </w:r>
      <w:proofErr w:type="spellEnd"/>
      <w:r w:rsidRPr="00825A9A">
        <w:rPr>
          <w:rFonts w:asciiTheme="minorHAnsi" w:hAnsiTheme="minorHAnsi" w:cstheme="minorHAnsi"/>
          <w:sz w:val="22"/>
          <w:szCs w:val="22"/>
        </w:rPr>
        <w:t xml:space="preserve"> pour </w:t>
      </w:r>
      <w:r w:rsidRPr="00825A9A">
        <w:rPr>
          <w:rFonts w:asciiTheme="minorHAnsi" w:hAnsiTheme="minorHAnsi" w:cstheme="minorHAnsi"/>
          <w:b/>
          <w:sz w:val="22"/>
          <w:szCs w:val="22"/>
        </w:rPr>
        <w:t>comparer la structure des molécules</w:t>
      </w:r>
      <w:r w:rsidRPr="00825A9A">
        <w:rPr>
          <w:rFonts w:asciiTheme="minorHAnsi" w:hAnsiTheme="minorHAnsi" w:cstheme="minorHAnsi"/>
          <w:sz w:val="22"/>
          <w:szCs w:val="22"/>
        </w:rPr>
        <w:t xml:space="preserve"> d’ADN et ARN et comprendre ainsi ce qui les lie.</w:t>
      </w:r>
      <w:r w:rsidRPr="00825A9A">
        <w:rPr>
          <w:rFonts w:asciiTheme="minorHAnsi" w:hAnsiTheme="minorHAnsi" w:cstheme="minorHAnsi"/>
          <w:sz w:val="22"/>
          <w:szCs w:val="22"/>
        </w:rPr>
        <w:tab/>
      </w:r>
    </w:p>
    <w:p w:rsidR="00825A9A" w:rsidRPr="00825A9A" w:rsidRDefault="00825A9A" w:rsidP="00825A9A">
      <w:pPr>
        <w:numPr>
          <w:ilvl w:val="0"/>
          <w:numId w:val="2"/>
        </w:numPr>
        <w:suppressAutoHyphens w:val="0"/>
        <w:spacing w:before="120"/>
        <w:ind w:left="426" w:hanging="357"/>
        <w:rPr>
          <w:rFonts w:asciiTheme="minorHAnsi" w:hAnsiTheme="minorHAnsi" w:cstheme="minorHAnsi"/>
          <w:sz w:val="22"/>
          <w:szCs w:val="22"/>
        </w:rPr>
      </w:pPr>
      <w:r w:rsidRPr="00825A9A">
        <w:rPr>
          <w:rFonts w:asciiTheme="minorHAnsi" w:hAnsiTheme="minorHAnsi" w:cstheme="minorHAnsi"/>
          <w:b/>
          <w:sz w:val="22"/>
          <w:szCs w:val="22"/>
        </w:rPr>
        <w:t>Complétez le tableau</w:t>
      </w:r>
      <w:r w:rsidRPr="00825A9A">
        <w:rPr>
          <w:rFonts w:asciiTheme="minorHAnsi" w:hAnsiTheme="minorHAnsi" w:cstheme="minorHAnsi"/>
          <w:sz w:val="22"/>
          <w:szCs w:val="22"/>
        </w:rPr>
        <w:t xml:space="preserve"> présentant ces deux molécules sur la fiche réponse élève.  </w:t>
      </w:r>
    </w:p>
    <w:p w:rsidR="00825A9A" w:rsidRPr="00825A9A" w:rsidRDefault="00825A9A" w:rsidP="00825A9A">
      <w:pPr>
        <w:numPr>
          <w:ilvl w:val="0"/>
          <w:numId w:val="2"/>
        </w:numPr>
        <w:suppressAutoHyphens w:val="0"/>
        <w:spacing w:after="120" w:line="276" w:lineRule="auto"/>
        <w:ind w:left="426" w:hanging="357"/>
        <w:rPr>
          <w:rFonts w:asciiTheme="minorHAnsi" w:hAnsiTheme="minorHAnsi" w:cstheme="minorHAnsi"/>
          <w:sz w:val="22"/>
          <w:szCs w:val="22"/>
        </w:rPr>
      </w:pPr>
      <w:r w:rsidRPr="00825A9A">
        <w:rPr>
          <w:rFonts w:asciiTheme="minorHAnsi" w:hAnsiTheme="minorHAnsi" w:cstheme="minorHAnsi"/>
          <w:sz w:val="22"/>
          <w:szCs w:val="22"/>
        </w:rPr>
        <w:t>Justifier les  sigles ADN et ARN et entourez su</w:t>
      </w:r>
      <w:r>
        <w:rPr>
          <w:rFonts w:asciiTheme="minorHAnsi" w:hAnsiTheme="minorHAnsi" w:cstheme="minorHAnsi"/>
          <w:sz w:val="22"/>
          <w:szCs w:val="22"/>
        </w:rPr>
        <w:t xml:space="preserve">r les captures d’écran </w:t>
      </w:r>
      <w:r w:rsidRPr="00825A9A">
        <w:rPr>
          <w:rFonts w:asciiTheme="minorHAnsi" w:hAnsiTheme="minorHAnsi" w:cstheme="minorHAnsi"/>
          <w:sz w:val="22"/>
          <w:szCs w:val="22"/>
        </w:rPr>
        <w:t xml:space="preserve"> (1ere ligne du tableau) </w:t>
      </w:r>
      <w:r w:rsidRPr="00825A9A">
        <w:rPr>
          <w:rFonts w:asciiTheme="minorHAnsi" w:hAnsiTheme="minorHAnsi" w:cstheme="minorHAnsi"/>
          <w:sz w:val="22"/>
          <w:szCs w:val="22"/>
          <w:u w:val="single"/>
        </w:rPr>
        <w:t>un nucléotide</w:t>
      </w:r>
      <w:r w:rsidRPr="00825A9A">
        <w:rPr>
          <w:rFonts w:asciiTheme="minorHAnsi" w:hAnsiTheme="minorHAnsi" w:cstheme="minorHAnsi"/>
          <w:sz w:val="22"/>
          <w:szCs w:val="22"/>
        </w:rPr>
        <w:t>.</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198"/>
      </w:tblGrid>
      <w:tr w:rsidR="00825A9A" w:rsidRPr="00825A9A" w:rsidTr="00825A9A">
        <w:tc>
          <w:tcPr>
            <w:tcW w:w="11198" w:type="dxa"/>
          </w:tcPr>
          <w:p w:rsidR="00825A9A" w:rsidRPr="00825A9A" w:rsidRDefault="00825A9A" w:rsidP="00493A37">
            <w:pPr>
              <w:ind w:left="426"/>
              <w:rPr>
                <w:rFonts w:asciiTheme="minorHAnsi" w:hAnsiTheme="minorHAnsi" w:cstheme="minorHAnsi"/>
                <w:sz w:val="22"/>
                <w:szCs w:val="22"/>
              </w:rPr>
            </w:pPr>
            <w:r w:rsidRPr="00825A9A">
              <w:rPr>
                <w:rFonts w:asciiTheme="minorHAnsi" w:hAnsiTheme="minorHAnsi" w:cstheme="minorHAnsi"/>
                <w:sz w:val="22"/>
                <w:szCs w:val="22"/>
              </w:rPr>
              <w:t xml:space="preserve">Aide : trois éléments, au sein d’un seul nucléotide,  sont à </w:t>
            </w:r>
            <w:r w:rsidRPr="00825A9A">
              <w:rPr>
                <w:rFonts w:asciiTheme="minorHAnsi" w:hAnsiTheme="minorHAnsi" w:cstheme="minorHAnsi"/>
                <w:b/>
                <w:sz w:val="22"/>
                <w:szCs w:val="22"/>
              </w:rPr>
              <w:t>retrouver et à légender</w:t>
            </w:r>
            <w:r w:rsidRPr="00825A9A">
              <w:rPr>
                <w:rFonts w:asciiTheme="minorHAnsi" w:hAnsiTheme="minorHAnsi" w:cstheme="minorHAnsi"/>
                <w:sz w:val="22"/>
                <w:szCs w:val="22"/>
              </w:rPr>
              <w:t xml:space="preserve">;  le premier comporte du </w:t>
            </w:r>
            <w:r w:rsidRPr="00825A9A">
              <w:rPr>
                <w:rFonts w:asciiTheme="minorHAnsi" w:hAnsiTheme="minorHAnsi" w:cstheme="minorHAnsi"/>
                <w:b/>
                <w:sz w:val="22"/>
                <w:szCs w:val="22"/>
              </w:rPr>
              <w:t>phosphate</w:t>
            </w:r>
            <w:r w:rsidR="00493A37">
              <w:rPr>
                <w:rFonts w:asciiTheme="minorHAnsi" w:hAnsiTheme="minorHAnsi" w:cstheme="minorHAnsi"/>
                <w:b/>
                <w:sz w:val="22"/>
                <w:szCs w:val="22"/>
              </w:rPr>
              <w:t xml:space="preserve">, </w:t>
            </w:r>
            <w:r w:rsidRPr="00825A9A">
              <w:rPr>
                <w:rFonts w:asciiTheme="minorHAnsi" w:hAnsiTheme="minorHAnsi" w:cstheme="minorHAnsi"/>
                <w:sz w:val="22"/>
                <w:szCs w:val="22"/>
              </w:rPr>
              <w:t xml:space="preserve">le deuxième est un </w:t>
            </w:r>
            <w:r w:rsidRPr="00825A9A">
              <w:rPr>
                <w:rFonts w:asciiTheme="minorHAnsi" w:hAnsiTheme="minorHAnsi" w:cstheme="minorHAnsi"/>
                <w:b/>
                <w:sz w:val="22"/>
                <w:szCs w:val="22"/>
              </w:rPr>
              <w:t>cycle à 5 carbones</w:t>
            </w:r>
            <w:r w:rsidRPr="00825A9A">
              <w:rPr>
                <w:rFonts w:asciiTheme="minorHAnsi" w:hAnsiTheme="minorHAnsi" w:cstheme="minorHAnsi"/>
                <w:sz w:val="22"/>
                <w:szCs w:val="22"/>
              </w:rPr>
              <w:t xml:space="preserve"> et le troisième comporte </w:t>
            </w:r>
            <w:r w:rsidRPr="00825A9A">
              <w:rPr>
                <w:rFonts w:asciiTheme="minorHAnsi" w:hAnsiTheme="minorHAnsi" w:cstheme="minorHAnsi"/>
                <w:b/>
                <w:sz w:val="22"/>
                <w:szCs w:val="22"/>
              </w:rPr>
              <w:t>deux cycles riches en azote</w:t>
            </w:r>
            <w:r w:rsidRPr="00825A9A">
              <w:rPr>
                <w:rFonts w:asciiTheme="minorHAnsi" w:hAnsiTheme="minorHAnsi" w:cstheme="minorHAnsi"/>
                <w:sz w:val="22"/>
                <w:szCs w:val="22"/>
              </w:rPr>
              <w:t>.</w:t>
            </w:r>
          </w:p>
        </w:tc>
      </w:tr>
    </w:tbl>
    <w:p w:rsidR="00825A9A" w:rsidRDefault="00825A9A" w:rsidP="00493A37">
      <w:pPr>
        <w:suppressAutoHyphens w:val="0"/>
        <w:rPr>
          <w:rFonts w:asciiTheme="minorHAnsi" w:hAnsiTheme="minorHAnsi" w:cstheme="minorHAnsi"/>
          <w:sz w:val="22"/>
          <w:szCs w:val="22"/>
        </w:rPr>
      </w:pPr>
    </w:p>
    <w:p w:rsidR="000A792F" w:rsidRPr="000A792F" w:rsidRDefault="000A792F" w:rsidP="00493A37">
      <w:pPr>
        <w:shd w:val="clear" w:color="auto" w:fill="A6A6A6" w:themeFill="background1" w:themeFillShade="A6"/>
        <w:suppressAutoHyphens w:val="0"/>
        <w:spacing w:after="120" w:line="276" w:lineRule="auto"/>
        <w:jc w:val="center"/>
        <w:rPr>
          <w:rFonts w:asciiTheme="minorHAnsi" w:hAnsiTheme="minorHAnsi" w:cstheme="minorHAnsi"/>
          <w:b/>
          <w:i/>
          <w:sz w:val="22"/>
        </w:rPr>
      </w:pPr>
      <w:r w:rsidRPr="000A792F">
        <w:rPr>
          <w:rFonts w:asciiTheme="minorHAnsi" w:hAnsiTheme="minorHAnsi" w:cstheme="minorHAnsi"/>
          <w:b/>
          <w:i/>
          <w:sz w:val="22"/>
        </w:rPr>
        <w:t>Atelier 2 : De l’ARN m aux protéines virales</w:t>
      </w:r>
    </w:p>
    <w:p w:rsidR="000A792F" w:rsidRPr="00234784" w:rsidRDefault="00234784" w:rsidP="00234784">
      <w:pPr>
        <w:suppressAutoHyphens w:val="0"/>
        <w:spacing w:line="276" w:lineRule="auto"/>
        <w:rPr>
          <w:rFonts w:asciiTheme="minorHAnsi" w:hAnsiTheme="minorHAnsi" w:cstheme="minorHAnsi"/>
          <w:sz w:val="22"/>
          <w:szCs w:val="22"/>
        </w:rPr>
      </w:pPr>
      <w:r>
        <w:rPr>
          <w:rFonts w:asciiTheme="minorHAnsi" w:hAnsiTheme="minorHAnsi" w:cstheme="minorHAnsi"/>
          <w:sz w:val="22"/>
          <w:szCs w:val="22"/>
        </w:rPr>
        <w:t xml:space="preserve">Objectif : </w:t>
      </w:r>
      <w:r w:rsidR="000A792F" w:rsidRPr="00234784">
        <w:rPr>
          <w:rFonts w:asciiTheme="minorHAnsi" w:hAnsiTheme="minorHAnsi" w:cstheme="minorHAnsi"/>
          <w:b/>
          <w:sz w:val="22"/>
          <w:szCs w:val="22"/>
        </w:rPr>
        <w:t>Utilisez</w:t>
      </w:r>
      <w:r w:rsidR="000A792F" w:rsidRPr="00234784">
        <w:rPr>
          <w:rFonts w:asciiTheme="minorHAnsi" w:hAnsiTheme="minorHAnsi" w:cstheme="minorHAnsi"/>
          <w:sz w:val="22"/>
          <w:szCs w:val="22"/>
        </w:rPr>
        <w:t xml:space="preserve"> les fonctionnalités du logiciel de comparaison de séquences pour comprendre l’information contenue dans cette molécule d’ARNm</w:t>
      </w:r>
    </w:p>
    <w:tbl>
      <w:tblPr>
        <w:tblStyle w:val="Grilledutableau"/>
        <w:tblW w:w="0" w:type="auto"/>
        <w:tblInd w:w="250" w:type="dxa"/>
        <w:tblLook w:val="04A0"/>
      </w:tblPr>
      <w:tblGrid>
        <w:gridCol w:w="7371"/>
        <w:gridCol w:w="3943"/>
      </w:tblGrid>
      <w:tr w:rsidR="009E4BCC" w:rsidRPr="009E4BCC" w:rsidTr="000E1768">
        <w:tc>
          <w:tcPr>
            <w:tcW w:w="7371" w:type="dxa"/>
          </w:tcPr>
          <w:p w:rsidR="009E4BCC" w:rsidRDefault="009E4BCC" w:rsidP="009E4BCC">
            <w:pPr>
              <w:shd w:val="clear" w:color="auto" w:fill="FFFFFF"/>
              <w:suppressAutoHyphens w:val="0"/>
              <w:textAlignment w:val="baseline"/>
              <w:rPr>
                <w:rFonts w:asciiTheme="minorHAnsi" w:hAnsiTheme="minorHAnsi" w:cstheme="minorHAnsi"/>
                <w:color w:val="222222"/>
                <w:sz w:val="22"/>
                <w:szCs w:val="22"/>
                <w:lang w:eastAsia="fr-FR"/>
              </w:rPr>
            </w:pPr>
            <w:r w:rsidRPr="009E4BCC">
              <w:rPr>
                <w:rFonts w:asciiTheme="minorHAnsi" w:hAnsiTheme="minorHAnsi" w:cstheme="minorHAnsi"/>
                <w:color w:val="222222"/>
                <w:sz w:val="22"/>
                <w:szCs w:val="22"/>
                <w:lang w:eastAsia="fr-FR"/>
              </w:rPr>
              <w:t>On trouve dans la </w:t>
            </w:r>
            <w:r w:rsidRPr="009E4BCC">
              <w:rPr>
                <w:rFonts w:asciiTheme="minorHAnsi" w:hAnsiTheme="minorHAnsi" w:cstheme="minorHAnsi"/>
                <w:b/>
                <w:bCs/>
                <w:color w:val="222222"/>
                <w:sz w:val="22"/>
                <w:lang w:eastAsia="fr-FR"/>
              </w:rPr>
              <w:t>banque de séquences de Geniegen2</w:t>
            </w:r>
            <w:r w:rsidRPr="009E4BCC">
              <w:rPr>
                <w:rFonts w:asciiTheme="minorHAnsi" w:hAnsiTheme="minorHAnsi" w:cstheme="minorHAnsi"/>
                <w:color w:val="222222"/>
                <w:sz w:val="22"/>
                <w:szCs w:val="22"/>
                <w:lang w:eastAsia="fr-FR"/>
              </w:rPr>
              <w:t> des séquences nucléotidiques relatives au virus Sars-</w:t>
            </w:r>
            <w:proofErr w:type="spellStart"/>
            <w:r w:rsidRPr="009E4BCC">
              <w:rPr>
                <w:rFonts w:asciiTheme="minorHAnsi" w:hAnsiTheme="minorHAnsi" w:cstheme="minorHAnsi"/>
                <w:color w:val="222222"/>
                <w:sz w:val="22"/>
                <w:szCs w:val="22"/>
                <w:lang w:eastAsia="fr-FR"/>
              </w:rPr>
              <w:t>CoV</w:t>
            </w:r>
            <w:proofErr w:type="spellEnd"/>
            <w:r w:rsidRPr="009E4BCC">
              <w:rPr>
                <w:rFonts w:asciiTheme="minorHAnsi" w:hAnsiTheme="minorHAnsi" w:cstheme="minorHAnsi"/>
                <w:color w:val="222222"/>
                <w:sz w:val="22"/>
                <w:szCs w:val="22"/>
                <w:lang w:eastAsia="fr-FR"/>
              </w:rPr>
              <w:t xml:space="preserve">-2. </w:t>
            </w:r>
          </w:p>
          <w:p w:rsidR="009E4BCC" w:rsidRPr="009E4BCC" w:rsidRDefault="009E4BCC" w:rsidP="009E4BCC">
            <w:pPr>
              <w:shd w:val="clear" w:color="auto" w:fill="FFFFFF"/>
              <w:suppressAutoHyphens w:val="0"/>
              <w:textAlignment w:val="baseline"/>
              <w:rPr>
                <w:rFonts w:asciiTheme="minorHAnsi" w:hAnsiTheme="minorHAnsi" w:cstheme="minorHAnsi"/>
                <w:color w:val="222222"/>
                <w:sz w:val="22"/>
                <w:szCs w:val="22"/>
                <w:lang w:eastAsia="fr-FR"/>
              </w:rPr>
            </w:pPr>
            <w:r w:rsidRPr="009E4BCC">
              <w:rPr>
                <w:rFonts w:asciiTheme="minorHAnsi" w:hAnsiTheme="minorHAnsi" w:cstheme="minorHAnsi"/>
                <w:color w:val="222222"/>
                <w:sz w:val="22"/>
                <w:szCs w:val="22"/>
                <w:lang w:eastAsia="fr-FR"/>
              </w:rPr>
              <w:t>On dispose :</w:t>
            </w:r>
          </w:p>
          <w:p w:rsidR="00997FAC" w:rsidRPr="00997FAC" w:rsidRDefault="009E4BCC" w:rsidP="000E1768">
            <w:pPr>
              <w:numPr>
                <w:ilvl w:val="0"/>
                <w:numId w:val="4"/>
              </w:numPr>
              <w:shd w:val="clear" w:color="auto" w:fill="FFFFFF"/>
              <w:tabs>
                <w:tab w:val="clear" w:pos="720"/>
                <w:tab w:val="num" w:pos="317"/>
              </w:tabs>
              <w:suppressAutoHyphens w:val="0"/>
              <w:ind w:left="317" w:hanging="283"/>
              <w:textAlignment w:val="baseline"/>
              <w:rPr>
                <w:rFonts w:asciiTheme="minorHAnsi" w:hAnsiTheme="minorHAnsi" w:cstheme="minorHAnsi"/>
                <w:color w:val="383838"/>
                <w:sz w:val="22"/>
                <w:szCs w:val="22"/>
                <w:lang w:eastAsia="fr-FR"/>
              </w:rPr>
            </w:pPr>
            <w:r w:rsidRPr="009E4BCC">
              <w:rPr>
                <w:rFonts w:asciiTheme="minorHAnsi" w:hAnsiTheme="minorHAnsi" w:cstheme="minorHAnsi"/>
                <w:color w:val="383838"/>
                <w:sz w:val="22"/>
                <w:szCs w:val="22"/>
                <w:lang w:eastAsia="fr-FR"/>
              </w:rPr>
              <w:t>De la séquence complète de l’ARNm du vaccin BNT162B ;</w:t>
            </w:r>
            <w:r w:rsidR="00997FAC">
              <w:rPr>
                <w:rFonts w:asciiTheme="minorHAnsi" w:hAnsiTheme="minorHAnsi" w:cstheme="minorHAnsi"/>
                <w:color w:val="383838"/>
                <w:sz w:val="22"/>
                <w:szCs w:val="22"/>
                <w:lang w:eastAsia="fr-FR"/>
              </w:rPr>
              <w:t xml:space="preserve"> </w:t>
            </w:r>
          </w:p>
          <w:p w:rsidR="00997FAC" w:rsidRDefault="00997FAC" w:rsidP="00997FAC">
            <w:pPr>
              <w:suppressAutoHyphens w:val="0"/>
              <w:rPr>
                <w:rFonts w:asciiTheme="minorHAnsi" w:hAnsiTheme="minorHAnsi" w:cstheme="minorHAnsi"/>
                <w:sz w:val="22"/>
                <w:szCs w:val="22"/>
              </w:rPr>
            </w:pPr>
            <w:r>
              <w:rPr>
                <w:rFonts w:asciiTheme="minorHAnsi" w:hAnsiTheme="minorHAnsi" w:cstheme="minorHAnsi"/>
                <w:sz w:val="22"/>
                <w:szCs w:val="22"/>
              </w:rPr>
              <w:t xml:space="preserve">Remarque : </w:t>
            </w:r>
            <w:r w:rsidRPr="000E51CF">
              <w:rPr>
                <w:rFonts w:asciiTheme="minorHAnsi" w:hAnsiTheme="minorHAnsi" w:cstheme="minorHAnsi"/>
                <w:sz w:val="22"/>
                <w:szCs w:val="22"/>
              </w:rPr>
              <w:t xml:space="preserve">la lettre grecque Psi (Ψ) est en fait de la </w:t>
            </w:r>
            <w:proofErr w:type="spellStart"/>
            <w:r w:rsidRPr="000E51CF">
              <w:rPr>
                <w:rFonts w:asciiTheme="minorHAnsi" w:hAnsiTheme="minorHAnsi" w:cstheme="minorHAnsi"/>
                <w:sz w:val="22"/>
                <w:szCs w:val="22"/>
              </w:rPr>
              <w:t>pseudouridine</w:t>
            </w:r>
            <w:proofErr w:type="spellEnd"/>
            <w:r w:rsidRPr="000E51CF">
              <w:rPr>
                <w:rFonts w:asciiTheme="minorHAnsi" w:hAnsiTheme="minorHAnsi" w:cstheme="minorHAnsi"/>
                <w:sz w:val="22"/>
                <w:szCs w:val="22"/>
              </w:rPr>
              <w:t xml:space="preserve">. </w:t>
            </w:r>
          </w:p>
          <w:p w:rsidR="00997FAC" w:rsidRDefault="0078647D" w:rsidP="00997FAC">
            <w:pPr>
              <w:suppressAutoHyphens w:val="0"/>
              <w:rPr>
                <w:rFonts w:asciiTheme="minorHAnsi" w:hAnsiTheme="minorHAnsi" w:cstheme="minorHAnsi"/>
                <w:sz w:val="22"/>
                <w:szCs w:val="22"/>
              </w:rPr>
            </w:pPr>
            <w:r>
              <w:rPr>
                <w:rFonts w:asciiTheme="minorHAnsi" w:hAnsiTheme="minorHAnsi" w:cstheme="minorHAnsi"/>
                <w:color w:val="383838"/>
                <w:sz w:val="22"/>
                <w:szCs w:val="22"/>
                <w:lang w:eastAsia="fr-FR"/>
              </w:rPr>
              <w:t>D</w:t>
            </w:r>
            <w:r w:rsidRPr="0078647D">
              <w:rPr>
                <w:rFonts w:asciiTheme="minorHAnsi" w:hAnsiTheme="minorHAnsi" w:cstheme="minorHAnsi"/>
                <w:color w:val="383838"/>
                <w:sz w:val="22"/>
                <w:szCs w:val="22"/>
                <w:lang w:eastAsia="fr-FR"/>
              </w:rPr>
              <w:t xml:space="preserve">ans le vaccin </w:t>
            </w:r>
            <w:proofErr w:type="spellStart"/>
            <w:r w:rsidRPr="0078647D">
              <w:rPr>
                <w:rFonts w:asciiTheme="minorHAnsi" w:hAnsiTheme="minorHAnsi" w:cstheme="minorHAnsi"/>
                <w:color w:val="383838"/>
                <w:sz w:val="22"/>
                <w:szCs w:val="22"/>
                <w:lang w:eastAsia="fr-FR"/>
              </w:rPr>
              <w:t>BioNTech</w:t>
            </w:r>
            <w:proofErr w:type="spellEnd"/>
            <w:r w:rsidRPr="0078647D">
              <w:rPr>
                <w:rFonts w:asciiTheme="minorHAnsi" w:hAnsiTheme="minorHAnsi" w:cstheme="minorHAnsi"/>
                <w:color w:val="383838"/>
                <w:sz w:val="22"/>
                <w:szCs w:val="22"/>
                <w:lang w:eastAsia="fr-FR"/>
              </w:rPr>
              <w:t xml:space="preserve"> / Pfizer, chaque U a été remplacé par du </w:t>
            </w:r>
            <w:r w:rsidRPr="0078647D">
              <w:rPr>
                <w:rFonts w:asciiTheme="minorHAnsi" w:hAnsiTheme="minorHAnsi" w:cstheme="minorHAnsi"/>
                <w:i/>
                <w:iCs/>
                <w:color w:val="383838"/>
                <w:lang w:eastAsia="fr-FR"/>
              </w:rPr>
              <w:t>1-</w:t>
            </w:r>
            <w:proofErr w:type="spellStart"/>
            <w:r w:rsidRPr="0078647D">
              <w:rPr>
                <w:rFonts w:asciiTheme="minorHAnsi" w:hAnsiTheme="minorHAnsi" w:cstheme="minorHAnsi"/>
                <w:i/>
                <w:iCs/>
                <w:color w:val="383838"/>
                <w:lang w:eastAsia="fr-FR"/>
              </w:rPr>
              <w:t>méthyl</w:t>
            </w:r>
            <w:proofErr w:type="spellEnd"/>
            <w:r w:rsidRPr="0078647D">
              <w:rPr>
                <w:rFonts w:asciiTheme="minorHAnsi" w:hAnsiTheme="minorHAnsi" w:cstheme="minorHAnsi"/>
                <w:i/>
                <w:iCs/>
                <w:color w:val="383838"/>
                <w:lang w:eastAsia="fr-FR"/>
              </w:rPr>
              <w:t>-3’-</w:t>
            </w:r>
            <w:proofErr w:type="spellStart"/>
            <w:r w:rsidRPr="0078647D">
              <w:rPr>
                <w:rFonts w:asciiTheme="minorHAnsi" w:hAnsiTheme="minorHAnsi" w:cstheme="minorHAnsi"/>
                <w:i/>
                <w:iCs/>
                <w:color w:val="383838"/>
                <w:lang w:eastAsia="fr-FR"/>
              </w:rPr>
              <w:t>pseudouridylyle</w:t>
            </w:r>
            <w:proofErr w:type="spellEnd"/>
            <w:r w:rsidRPr="0078647D">
              <w:rPr>
                <w:rFonts w:asciiTheme="minorHAnsi" w:hAnsiTheme="minorHAnsi" w:cstheme="minorHAnsi"/>
                <w:color w:val="383838"/>
                <w:sz w:val="22"/>
                <w:szCs w:val="22"/>
                <w:lang w:eastAsia="fr-FR"/>
              </w:rPr>
              <w:t>, noté Ψ : cette substitution permet donc de ne pas alerter notre système immunitaire, le Ψ est accepté comme un U normal par les mécanismes cellulaires !</w:t>
            </w:r>
          </w:p>
          <w:p w:rsidR="009E4BCC" w:rsidRPr="009E4BCC" w:rsidRDefault="009E4BCC" w:rsidP="002D17F6">
            <w:pPr>
              <w:numPr>
                <w:ilvl w:val="0"/>
                <w:numId w:val="4"/>
              </w:numPr>
              <w:shd w:val="clear" w:color="auto" w:fill="FFFFFF"/>
              <w:tabs>
                <w:tab w:val="clear" w:pos="720"/>
                <w:tab w:val="num" w:pos="284"/>
              </w:tabs>
              <w:suppressAutoHyphens w:val="0"/>
              <w:ind w:left="426"/>
              <w:textAlignment w:val="baseline"/>
              <w:rPr>
                <w:rFonts w:asciiTheme="minorHAnsi" w:hAnsiTheme="minorHAnsi" w:cstheme="minorHAnsi"/>
                <w:color w:val="383838"/>
                <w:sz w:val="22"/>
                <w:szCs w:val="22"/>
                <w:lang w:eastAsia="fr-FR"/>
              </w:rPr>
            </w:pPr>
            <w:r w:rsidRPr="009E4BCC">
              <w:rPr>
                <w:rFonts w:asciiTheme="minorHAnsi" w:hAnsiTheme="minorHAnsi" w:cstheme="minorHAnsi"/>
                <w:color w:val="383838"/>
                <w:sz w:val="22"/>
                <w:szCs w:val="22"/>
                <w:lang w:eastAsia="fr-FR"/>
              </w:rPr>
              <w:t>De la séquence codante de l’ARNm du vaccin ;</w:t>
            </w:r>
          </w:p>
          <w:p w:rsidR="009E4BCC" w:rsidRPr="009E4BCC" w:rsidRDefault="009E4BCC" w:rsidP="002D17F6">
            <w:pPr>
              <w:numPr>
                <w:ilvl w:val="0"/>
                <w:numId w:val="4"/>
              </w:numPr>
              <w:shd w:val="clear" w:color="auto" w:fill="FFFFFF"/>
              <w:tabs>
                <w:tab w:val="clear" w:pos="720"/>
                <w:tab w:val="num" w:pos="284"/>
              </w:tabs>
              <w:suppressAutoHyphens w:val="0"/>
              <w:ind w:left="426"/>
              <w:textAlignment w:val="baseline"/>
              <w:rPr>
                <w:rFonts w:asciiTheme="minorHAnsi" w:hAnsiTheme="minorHAnsi" w:cstheme="minorHAnsi"/>
                <w:color w:val="383838"/>
                <w:sz w:val="22"/>
                <w:szCs w:val="22"/>
                <w:lang w:eastAsia="fr-FR"/>
              </w:rPr>
            </w:pPr>
            <w:r w:rsidRPr="009E4BCC">
              <w:rPr>
                <w:rFonts w:asciiTheme="minorHAnsi" w:hAnsiTheme="minorHAnsi" w:cstheme="minorHAnsi"/>
                <w:color w:val="383838"/>
                <w:sz w:val="22"/>
                <w:szCs w:val="22"/>
                <w:lang w:eastAsia="fr-FR"/>
              </w:rPr>
              <w:t>De la séquence ARNm du gène S du virus codant pour la protéine Spike (S) ;</w:t>
            </w:r>
          </w:p>
          <w:p w:rsidR="009E4BCC" w:rsidRPr="009E4BCC" w:rsidRDefault="009E4BCC" w:rsidP="002D17F6">
            <w:pPr>
              <w:numPr>
                <w:ilvl w:val="0"/>
                <w:numId w:val="4"/>
              </w:numPr>
              <w:shd w:val="clear" w:color="auto" w:fill="FFFFFF"/>
              <w:tabs>
                <w:tab w:val="clear" w:pos="720"/>
                <w:tab w:val="num" w:pos="284"/>
              </w:tabs>
              <w:suppressAutoHyphens w:val="0"/>
              <w:ind w:left="426"/>
              <w:textAlignment w:val="baseline"/>
              <w:rPr>
                <w:rFonts w:asciiTheme="minorHAnsi" w:hAnsiTheme="minorHAnsi" w:cstheme="minorHAnsi"/>
                <w:color w:val="383838"/>
                <w:sz w:val="22"/>
                <w:szCs w:val="22"/>
                <w:lang w:eastAsia="fr-FR"/>
              </w:rPr>
            </w:pPr>
            <w:r w:rsidRPr="009E4BCC">
              <w:rPr>
                <w:rFonts w:asciiTheme="minorHAnsi" w:hAnsiTheme="minorHAnsi" w:cstheme="minorHAnsi"/>
                <w:color w:val="383838"/>
                <w:sz w:val="22"/>
                <w:szCs w:val="22"/>
                <w:lang w:eastAsia="fr-FR"/>
              </w:rPr>
              <w:t xml:space="preserve">De la séquence peptidique de la protéine </w:t>
            </w:r>
            <w:proofErr w:type="spellStart"/>
            <w:r w:rsidRPr="009E4BCC">
              <w:rPr>
                <w:rFonts w:asciiTheme="minorHAnsi" w:hAnsiTheme="minorHAnsi" w:cstheme="minorHAnsi"/>
                <w:color w:val="383838"/>
                <w:sz w:val="22"/>
                <w:szCs w:val="22"/>
                <w:lang w:eastAsia="fr-FR"/>
              </w:rPr>
              <w:t>spike</w:t>
            </w:r>
            <w:proofErr w:type="spellEnd"/>
            <w:r w:rsidRPr="009E4BCC">
              <w:rPr>
                <w:rFonts w:asciiTheme="minorHAnsi" w:hAnsiTheme="minorHAnsi" w:cstheme="minorHAnsi"/>
                <w:color w:val="383838"/>
                <w:sz w:val="22"/>
                <w:szCs w:val="22"/>
                <w:lang w:eastAsia="fr-FR"/>
              </w:rPr>
              <w:t xml:space="preserve"> présente à la surface du virus.</w:t>
            </w:r>
          </w:p>
        </w:tc>
        <w:tc>
          <w:tcPr>
            <w:tcW w:w="3943" w:type="dxa"/>
            <w:shd w:val="clear" w:color="auto" w:fill="D9D9D9" w:themeFill="background1" w:themeFillShade="D9"/>
          </w:tcPr>
          <w:p w:rsidR="00997FAC" w:rsidRPr="002D17F6" w:rsidRDefault="00997FAC" w:rsidP="002D17F6">
            <w:pPr>
              <w:suppressAutoHyphens w:val="0"/>
              <w:jc w:val="center"/>
              <w:rPr>
                <w:rFonts w:asciiTheme="minorHAnsi" w:hAnsiTheme="minorHAnsi" w:cstheme="minorHAnsi"/>
                <w:b/>
                <w:sz w:val="22"/>
                <w:szCs w:val="22"/>
                <w:u w:val="single"/>
              </w:rPr>
            </w:pPr>
            <w:r w:rsidRPr="002D17F6">
              <w:rPr>
                <w:rFonts w:asciiTheme="minorHAnsi" w:hAnsiTheme="minorHAnsi" w:cstheme="minorHAnsi"/>
                <w:b/>
                <w:sz w:val="22"/>
                <w:szCs w:val="22"/>
                <w:u w:val="single"/>
              </w:rPr>
              <w:t>Protocole :</w:t>
            </w:r>
          </w:p>
          <w:p w:rsidR="00997FAC" w:rsidRDefault="00997FAC" w:rsidP="00997FAC">
            <w:pPr>
              <w:suppressAutoHyphens w:val="0"/>
              <w:rPr>
                <w:rFonts w:asciiTheme="minorHAnsi" w:hAnsiTheme="minorHAnsi" w:cstheme="minorHAnsi"/>
                <w:sz w:val="22"/>
                <w:szCs w:val="22"/>
              </w:rPr>
            </w:pPr>
            <w:r>
              <w:rPr>
                <w:rFonts w:asciiTheme="minorHAnsi" w:hAnsiTheme="minorHAnsi" w:cstheme="minorHAnsi"/>
                <w:sz w:val="22"/>
                <w:szCs w:val="22"/>
              </w:rPr>
              <w:t>A l’ouverture du logiciel, sélectionnez</w:t>
            </w:r>
          </w:p>
          <w:p w:rsidR="00997FAC" w:rsidRDefault="00997FAC" w:rsidP="00997FAC">
            <w:pPr>
              <w:suppressAutoHyphens w:val="0"/>
              <w:rPr>
                <w:rFonts w:asciiTheme="minorHAnsi" w:hAnsiTheme="minorHAnsi" w:cstheme="minorHAnsi"/>
                <w:sz w:val="22"/>
                <w:szCs w:val="22"/>
              </w:rPr>
            </w:pPr>
            <w:r>
              <w:rPr>
                <w:rFonts w:asciiTheme="minorHAnsi" w:hAnsiTheme="minorHAnsi" w:cstheme="minorHAnsi"/>
                <w:sz w:val="22"/>
                <w:szCs w:val="22"/>
              </w:rPr>
              <w:t>Ouvrir la banque de séquences</w:t>
            </w:r>
          </w:p>
          <w:p w:rsidR="00997FAC" w:rsidRDefault="00997FAC" w:rsidP="00997FAC">
            <w:pPr>
              <w:suppressAutoHyphens w:val="0"/>
              <w:rPr>
                <w:rFonts w:asciiTheme="minorHAnsi" w:hAnsiTheme="minorHAnsi" w:cstheme="minorHAnsi"/>
                <w:sz w:val="22"/>
                <w:szCs w:val="22"/>
              </w:rPr>
            </w:pPr>
            <w:r>
              <w:rPr>
                <w:rFonts w:asciiTheme="minorHAnsi" w:hAnsiTheme="minorHAnsi" w:cstheme="minorHAnsi"/>
                <w:sz w:val="22"/>
                <w:szCs w:val="22"/>
              </w:rPr>
              <w:t>Cliquez sur le pack « comprendre le vaccin à ARN » et chargez les séquences</w:t>
            </w:r>
          </w:p>
          <w:p w:rsidR="009E4BCC" w:rsidRPr="009E4BCC" w:rsidRDefault="009E4BCC" w:rsidP="002D17F6">
            <w:pPr>
              <w:suppressAutoHyphens w:val="0"/>
              <w:spacing w:before="120"/>
              <w:jc w:val="center"/>
              <w:rPr>
                <w:rFonts w:asciiTheme="minorHAnsi" w:hAnsiTheme="minorHAnsi" w:cstheme="minorHAnsi"/>
                <w:sz w:val="22"/>
                <w:szCs w:val="22"/>
              </w:rPr>
            </w:pPr>
            <w:r w:rsidRPr="009E4BCC">
              <w:rPr>
                <w:rFonts w:asciiTheme="minorHAnsi" w:hAnsiTheme="minorHAnsi" w:cstheme="minorHAnsi"/>
                <w:noProof/>
                <w:color w:val="383838"/>
                <w:sz w:val="22"/>
                <w:szCs w:val="22"/>
                <w:bdr w:val="none" w:sz="0" w:space="0" w:color="auto" w:frame="1"/>
                <w:lang w:eastAsia="fr-FR"/>
              </w:rPr>
              <w:drawing>
                <wp:inline distT="0" distB="0" distL="0" distR="0">
                  <wp:extent cx="1541690" cy="1309683"/>
                  <wp:effectExtent l="19050" t="0" r="1360" b="0"/>
                  <wp:docPr id="3" name="Image 432" descr="Séquences présentes dans Genie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équences présentes dans Geniegen2"/>
                          <pic:cNvPicPr>
                            <a:picLocks noChangeAspect="1" noChangeArrowheads="1"/>
                          </pic:cNvPicPr>
                        </pic:nvPicPr>
                        <pic:blipFill>
                          <a:blip r:embed="rId34"/>
                          <a:srcRect/>
                          <a:stretch>
                            <a:fillRect/>
                          </a:stretch>
                        </pic:blipFill>
                        <pic:spPr bwMode="auto">
                          <a:xfrm>
                            <a:off x="0" y="0"/>
                            <a:ext cx="1541952" cy="1309906"/>
                          </a:xfrm>
                          <a:prstGeom prst="rect">
                            <a:avLst/>
                          </a:prstGeom>
                          <a:noFill/>
                          <a:ln w="9525">
                            <a:noFill/>
                            <a:miter lim="800000"/>
                            <a:headEnd/>
                            <a:tailEnd/>
                          </a:ln>
                        </pic:spPr>
                      </pic:pic>
                    </a:graphicData>
                  </a:graphic>
                </wp:inline>
              </w:drawing>
            </w:r>
          </w:p>
        </w:tc>
      </w:tr>
    </w:tbl>
    <w:p w:rsidR="00997FAC" w:rsidRDefault="00997FAC" w:rsidP="000E51CF">
      <w:pPr>
        <w:suppressAutoHyphens w:val="0"/>
        <w:rPr>
          <w:rFonts w:asciiTheme="minorHAnsi" w:hAnsiTheme="minorHAnsi" w:cstheme="minorHAnsi"/>
          <w:sz w:val="22"/>
          <w:szCs w:val="22"/>
        </w:rPr>
      </w:pPr>
    </w:p>
    <w:p w:rsidR="009E4BCC" w:rsidRDefault="006C5905" w:rsidP="00245D4D">
      <w:pPr>
        <w:suppressAutoHyphens w:val="0"/>
        <w:jc w:val="center"/>
        <w:rPr>
          <w:rFonts w:asciiTheme="minorHAnsi" w:hAnsiTheme="minorHAnsi" w:cstheme="minorHAnsi"/>
          <w:sz w:val="22"/>
          <w:szCs w:val="22"/>
        </w:rPr>
      </w:pPr>
      <w:r>
        <w:rPr>
          <w:rFonts w:asciiTheme="minorHAnsi" w:hAnsiTheme="minorHAnsi" w:cstheme="minorHAnsi"/>
          <w:b/>
          <w:sz w:val="22"/>
          <w:szCs w:val="22"/>
          <w:u w:val="single"/>
        </w:rPr>
        <w:t>Information complémentaire</w:t>
      </w:r>
      <w:r w:rsidR="009E4BCC" w:rsidRPr="00997FAC">
        <w:rPr>
          <w:rFonts w:asciiTheme="minorHAnsi" w:hAnsiTheme="minorHAnsi" w:cstheme="minorHAnsi"/>
          <w:b/>
          <w:sz w:val="22"/>
          <w:szCs w:val="22"/>
          <w:u w:val="single"/>
        </w:rPr>
        <w:t> </w:t>
      </w:r>
      <w:r w:rsidR="009E4BCC">
        <w:rPr>
          <w:rFonts w:asciiTheme="minorHAnsi" w:hAnsiTheme="minorHAnsi" w:cstheme="minorHAnsi"/>
          <w:sz w:val="22"/>
          <w:szCs w:val="22"/>
        </w:rPr>
        <w:t>: le schéma</w:t>
      </w:r>
      <w:r w:rsidR="00A814B2">
        <w:rPr>
          <w:rFonts w:asciiTheme="minorHAnsi" w:hAnsiTheme="minorHAnsi" w:cstheme="minorHAnsi"/>
          <w:sz w:val="22"/>
          <w:szCs w:val="22"/>
        </w:rPr>
        <w:t xml:space="preserve"> de la structure de l’ARNm complet du vaccin proposé par l’</w:t>
      </w:r>
      <w:r w:rsidR="00245D4D">
        <w:rPr>
          <w:rFonts w:asciiTheme="minorHAnsi" w:hAnsiTheme="minorHAnsi" w:cstheme="minorHAnsi"/>
          <w:sz w:val="22"/>
          <w:szCs w:val="22"/>
        </w:rPr>
        <w:t>OMS</w:t>
      </w:r>
    </w:p>
    <w:p w:rsidR="00133688" w:rsidRDefault="00133688" w:rsidP="000E51CF">
      <w:pPr>
        <w:suppressAutoHyphens w:val="0"/>
        <w:rPr>
          <w:rFonts w:asciiTheme="minorHAnsi" w:hAnsiTheme="minorHAnsi" w:cstheme="minorHAnsi"/>
          <w:sz w:val="22"/>
          <w:szCs w:val="22"/>
        </w:rPr>
      </w:pPr>
    </w:p>
    <w:p w:rsidR="00133688" w:rsidRDefault="00493A37" w:rsidP="000E51CF">
      <w:pPr>
        <w:suppressAutoHyphens w:val="0"/>
        <w:rPr>
          <w:rFonts w:asciiTheme="minorHAnsi" w:hAnsiTheme="minorHAnsi" w:cstheme="minorHAnsi"/>
          <w:sz w:val="22"/>
          <w:szCs w:val="22"/>
        </w:rPr>
      </w:pPr>
      <w:r w:rsidRPr="00997FAC">
        <w:rPr>
          <w:rFonts w:asciiTheme="minorHAnsi" w:hAnsiTheme="minorHAnsi" w:cstheme="minorHAnsi"/>
          <w:b/>
          <w:noProof/>
          <w:sz w:val="22"/>
          <w:szCs w:val="22"/>
          <w:u w:val="single"/>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29" type="#_x0000_t61" style="position:absolute;margin-left:156.55pt;margin-top:3pt;width:118.2pt;height:63.85pt;z-index:251661312" adj="10517,32239">
            <v:textbox>
              <w:txbxContent>
                <w:p w:rsidR="00A814B2" w:rsidRPr="00794C97" w:rsidRDefault="00794C97">
                  <w:pPr>
                    <w:rPr>
                      <w:rFonts w:asciiTheme="minorHAnsi" w:hAnsiTheme="minorHAnsi" w:cstheme="minorHAnsi"/>
                    </w:rPr>
                  </w:pPr>
                  <w:r w:rsidRPr="00794C97">
                    <w:rPr>
                      <w:rFonts w:asciiTheme="minorHAnsi" w:hAnsiTheme="minorHAnsi" w:cstheme="minorHAnsi"/>
                      <w:color w:val="222222"/>
                      <w:sz w:val="22"/>
                      <w:szCs w:val="22"/>
                      <w:shd w:val="clear" w:color="auto" w:fill="FFFFFF"/>
                    </w:rPr>
                    <w:t>Permet</w:t>
                  </w:r>
                  <w:r w:rsidR="00A814B2" w:rsidRPr="00794C97">
                    <w:rPr>
                      <w:rFonts w:asciiTheme="minorHAnsi" w:hAnsiTheme="minorHAnsi" w:cstheme="minorHAnsi"/>
                      <w:color w:val="222222"/>
                      <w:sz w:val="22"/>
                      <w:szCs w:val="22"/>
                      <w:shd w:val="clear" w:color="auto" w:fill="FFFFFF"/>
                    </w:rPr>
                    <w:t xml:space="preserve"> à une protéine nouvelle d’être dirigée au bon endroit de la cellule</w:t>
                  </w:r>
                </w:p>
              </w:txbxContent>
            </v:textbox>
          </v:shape>
        </w:pict>
      </w:r>
      <w:r w:rsidR="00133688">
        <w:rPr>
          <w:rFonts w:asciiTheme="minorHAnsi" w:hAnsiTheme="minorHAnsi" w:cstheme="minorHAnsi"/>
          <w:noProof/>
          <w:sz w:val="22"/>
          <w:szCs w:val="22"/>
          <w:lang w:eastAsia="fr-FR"/>
        </w:rPr>
        <w:pict>
          <v:shape id="_x0000_s1027" type="#_x0000_t61" style="position:absolute;margin-left:12.5pt;margin-top:3pt;width:133.85pt;height:67.25pt;z-index:251659264" adj="18663,25711">
            <v:textbox>
              <w:txbxContent>
                <w:p w:rsidR="00A814B2" w:rsidRPr="00794C97" w:rsidRDefault="00A814B2">
                  <w:pPr>
                    <w:rPr>
                      <w:rFonts w:asciiTheme="minorHAnsi" w:hAnsiTheme="minorHAnsi" w:cstheme="minorHAnsi"/>
                      <w:sz w:val="22"/>
                    </w:rPr>
                  </w:pPr>
                  <w:r w:rsidRPr="00794C97">
                    <w:rPr>
                      <w:rFonts w:asciiTheme="minorHAnsi" w:hAnsiTheme="minorHAnsi" w:cstheme="minorHAnsi"/>
                      <w:sz w:val="22"/>
                    </w:rPr>
                    <w:t>« </w:t>
                  </w:r>
                  <w:r w:rsidR="00794C97" w:rsidRPr="00794C97">
                    <w:rPr>
                      <w:rFonts w:asciiTheme="minorHAnsi" w:hAnsiTheme="minorHAnsi" w:cstheme="minorHAnsi"/>
                      <w:sz w:val="22"/>
                    </w:rPr>
                    <w:t>Coiffe</w:t>
                  </w:r>
                  <w:r w:rsidRPr="00794C97">
                    <w:rPr>
                      <w:rFonts w:asciiTheme="minorHAnsi" w:hAnsiTheme="minorHAnsi" w:cstheme="minorHAnsi"/>
                      <w:sz w:val="22"/>
                    </w:rPr>
                    <w:t> » commençant par les nucléotides GA évitent à la cellule de détruire ARNm injecté</w:t>
                  </w:r>
                </w:p>
              </w:txbxContent>
            </v:textbox>
          </v:shape>
        </w:pict>
      </w:r>
    </w:p>
    <w:p w:rsidR="00133688" w:rsidRDefault="00133688" w:rsidP="000E51CF">
      <w:pPr>
        <w:suppressAutoHyphens w:val="0"/>
        <w:rPr>
          <w:rFonts w:asciiTheme="minorHAnsi" w:hAnsiTheme="minorHAnsi" w:cstheme="minorHAnsi"/>
          <w:sz w:val="22"/>
          <w:szCs w:val="22"/>
        </w:rPr>
      </w:pPr>
    </w:p>
    <w:p w:rsidR="00133688" w:rsidRDefault="00133688" w:rsidP="000E51CF">
      <w:pPr>
        <w:suppressAutoHyphens w:val="0"/>
        <w:rPr>
          <w:rFonts w:asciiTheme="minorHAnsi" w:hAnsiTheme="minorHAnsi" w:cstheme="minorHAnsi"/>
          <w:sz w:val="22"/>
          <w:szCs w:val="22"/>
        </w:rPr>
      </w:pPr>
    </w:p>
    <w:p w:rsidR="00A814B2" w:rsidRDefault="00A814B2" w:rsidP="000E51CF">
      <w:pPr>
        <w:suppressAutoHyphens w:val="0"/>
        <w:rPr>
          <w:rFonts w:asciiTheme="minorHAnsi" w:hAnsiTheme="minorHAnsi" w:cstheme="minorHAnsi"/>
          <w:sz w:val="22"/>
          <w:szCs w:val="22"/>
        </w:rPr>
      </w:pPr>
      <w:r>
        <w:rPr>
          <w:rFonts w:asciiTheme="minorHAnsi" w:hAnsiTheme="minorHAnsi" w:cstheme="minorHAnsi"/>
          <w:noProof/>
          <w:sz w:val="22"/>
          <w:szCs w:val="22"/>
          <w:lang w:eastAsia="fr-FR"/>
        </w:rPr>
        <w:pict>
          <v:shape id="_x0000_s1026" type="#_x0000_t61" style="position:absolute;margin-left:291pt;margin-top:6.25pt;width:165.75pt;height:34.65pt;z-index:251658240" adj="828,31855">
            <v:textbox>
              <w:txbxContent>
                <w:p w:rsidR="00A814B2" w:rsidRPr="00794C97" w:rsidRDefault="00A814B2">
                  <w:pPr>
                    <w:rPr>
                      <w:rFonts w:asciiTheme="minorHAnsi" w:hAnsiTheme="minorHAnsi" w:cstheme="minorHAnsi"/>
                      <w:sz w:val="22"/>
                    </w:rPr>
                  </w:pPr>
                  <w:r w:rsidRPr="00794C97">
                    <w:rPr>
                      <w:rFonts w:asciiTheme="minorHAnsi" w:hAnsiTheme="minorHAnsi" w:cstheme="minorHAnsi"/>
                      <w:sz w:val="22"/>
                    </w:rPr>
                    <w:t>La partie permettant la synthèse des éléments immunogènes</w:t>
                  </w:r>
                </w:p>
              </w:txbxContent>
            </v:textbox>
          </v:shape>
        </w:pict>
      </w:r>
    </w:p>
    <w:p w:rsidR="00A814B2" w:rsidRDefault="00A814B2" w:rsidP="000E51CF">
      <w:pPr>
        <w:suppressAutoHyphens w:val="0"/>
        <w:rPr>
          <w:rFonts w:asciiTheme="minorHAnsi" w:hAnsiTheme="minorHAnsi" w:cstheme="minorHAnsi"/>
          <w:sz w:val="22"/>
          <w:szCs w:val="22"/>
        </w:rPr>
      </w:pPr>
    </w:p>
    <w:p w:rsidR="009E4BCC" w:rsidRDefault="00794C97" w:rsidP="00A814B2">
      <w:pPr>
        <w:suppressAutoHyphens w:val="0"/>
        <w:jc w:val="center"/>
        <w:rPr>
          <w:rFonts w:asciiTheme="minorHAnsi" w:hAnsiTheme="minorHAnsi" w:cstheme="minorHAnsi"/>
          <w:sz w:val="22"/>
          <w:szCs w:val="22"/>
        </w:rPr>
      </w:pPr>
      <w:r>
        <w:rPr>
          <w:rFonts w:asciiTheme="minorHAnsi" w:hAnsiTheme="minorHAnsi" w:cstheme="minorHAnsi"/>
          <w:noProof/>
          <w:sz w:val="22"/>
          <w:szCs w:val="22"/>
          <w:lang w:eastAsia="fr-FR"/>
        </w:rPr>
        <w:pict>
          <v:shape id="_x0000_s1031" type="#_x0000_t61" style="position:absolute;left:0;text-align:left;margin-left:462.9pt;margin-top:24.85pt;width:108.65pt;height:100.55pt;z-index:251663360" adj="-4920,1429">
            <v:textbox>
              <w:txbxContent>
                <w:p w:rsidR="00794C97" w:rsidRPr="00794C97" w:rsidRDefault="00794C97">
                  <w:pPr>
                    <w:rPr>
                      <w:rFonts w:asciiTheme="minorHAnsi" w:hAnsiTheme="minorHAnsi" w:cstheme="minorHAnsi"/>
                    </w:rPr>
                  </w:pPr>
                  <w:r w:rsidRPr="00794C97">
                    <w:rPr>
                      <w:rFonts w:asciiTheme="minorHAnsi" w:hAnsiTheme="minorHAnsi" w:cstheme="minorHAnsi"/>
                      <w:color w:val="222222"/>
                      <w:sz w:val="22"/>
                      <w:szCs w:val="22"/>
                      <w:shd w:val="clear" w:color="auto" w:fill="FFFFFF"/>
                    </w:rPr>
                    <w:t> Séquence multi Adénine indispensable à la maturation et à l’activité de l’ARNm qui la porte</w:t>
                  </w:r>
                </w:p>
              </w:txbxContent>
            </v:textbox>
          </v:shape>
        </w:pict>
      </w:r>
      <w:r w:rsidR="009E4BCC">
        <w:rPr>
          <w:rFonts w:asciiTheme="minorHAnsi" w:hAnsiTheme="minorHAnsi" w:cstheme="minorHAnsi"/>
          <w:noProof/>
          <w:sz w:val="22"/>
          <w:szCs w:val="22"/>
          <w:lang w:eastAsia="fr-FR"/>
        </w:rPr>
        <w:drawing>
          <wp:inline distT="0" distB="0" distL="0" distR="0">
            <wp:extent cx="4451350" cy="767715"/>
            <wp:effectExtent l="19050" t="0" r="635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5"/>
                    <a:srcRect/>
                    <a:stretch>
                      <a:fillRect/>
                    </a:stretch>
                  </pic:blipFill>
                  <pic:spPr bwMode="auto">
                    <a:xfrm>
                      <a:off x="0" y="0"/>
                      <a:ext cx="4451350" cy="767715"/>
                    </a:xfrm>
                    <a:prstGeom prst="rect">
                      <a:avLst/>
                    </a:prstGeom>
                    <a:noFill/>
                    <a:ln w="9525">
                      <a:noFill/>
                      <a:miter lim="800000"/>
                      <a:headEnd/>
                      <a:tailEnd/>
                    </a:ln>
                  </pic:spPr>
                </pic:pic>
              </a:graphicData>
            </a:graphic>
          </wp:inline>
        </w:drawing>
      </w:r>
    </w:p>
    <w:p w:rsidR="00A814B2" w:rsidRDefault="000E1768" w:rsidP="00A814B2">
      <w:pPr>
        <w:suppressAutoHyphens w:val="0"/>
        <w:jc w:val="center"/>
        <w:rPr>
          <w:rFonts w:asciiTheme="minorHAnsi" w:hAnsiTheme="minorHAnsi" w:cstheme="minorHAnsi"/>
          <w:sz w:val="22"/>
          <w:szCs w:val="22"/>
        </w:rPr>
      </w:pPr>
      <w:r>
        <w:rPr>
          <w:rFonts w:asciiTheme="minorHAnsi" w:hAnsiTheme="minorHAnsi" w:cstheme="minorHAnsi"/>
          <w:noProof/>
          <w:sz w:val="22"/>
          <w:szCs w:val="22"/>
          <w:lang w:eastAsia="fr-FR"/>
        </w:rPr>
        <w:pict>
          <v:shape id="_x0000_s1030" type="#_x0000_t61" style="position:absolute;left:0;text-align:left;margin-left:307.4pt;margin-top:11.95pt;width:124.95pt;height:53pt;z-index:251662336" adj="5748,-13103">
            <v:textbox>
              <w:txbxContent>
                <w:p w:rsidR="00A814B2" w:rsidRPr="00794C97" w:rsidRDefault="00794C97">
                  <w:pPr>
                    <w:rPr>
                      <w:rFonts w:asciiTheme="minorHAnsi" w:hAnsiTheme="minorHAnsi" w:cstheme="minorHAnsi"/>
                      <w:i/>
                    </w:rPr>
                  </w:pPr>
                  <w:r>
                    <w:rPr>
                      <w:rStyle w:val="Accentuation"/>
                      <w:rFonts w:ascii="Arial" w:hAnsi="Arial" w:cs="Arial"/>
                      <w:color w:val="222222"/>
                      <w:sz w:val="22"/>
                      <w:szCs w:val="22"/>
                      <w:bdr w:val="none" w:sz="0" w:space="0" w:color="auto" w:frame="1"/>
                      <w:shd w:val="clear" w:color="auto" w:fill="FFFFFF"/>
                    </w:rPr>
                    <w:t> </w:t>
                  </w:r>
                  <w:r w:rsidR="00493A37" w:rsidRPr="00794C97">
                    <w:rPr>
                      <w:rStyle w:val="Accentuation"/>
                      <w:rFonts w:asciiTheme="minorHAnsi" w:hAnsiTheme="minorHAnsi" w:cstheme="minorHAnsi"/>
                      <w:i w:val="0"/>
                      <w:color w:val="222222"/>
                      <w:sz w:val="22"/>
                      <w:szCs w:val="22"/>
                      <w:bdr w:val="none" w:sz="0" w:space="0" w:color="auto" w:frame="1"/>
                      <w:shd w:val="clear" w:color="auto" w:fill="FFFFFF"/>
                    </w:rPr>
                    <w:t>Confère</w:t>
                  </w:r>
                  <w:r w:rsidR="00A814B2" w:rsidRPr="00794C97">
                    <w:rPr>
                      <w:rStyle w:val="Accentuation"/>
                      <w:rFonts w:asciiTheme="minorHAnsi" w:hAnsiTheme="minorHAnsi" w:cstheme="minorHAnsi"/>
                      <w:i w:val="0"/>
                      <w:color w:val="222222"/>
                      <w:sz w:val="22"/>
                      <w:szCs w:val="22"/>
                      <w:bdr w:val="none" w:sz="0" w:space="0" w:color="auto" w:frame="1"/>
                      <w:shd w:val="clear" w:color="auto" w:fill="FFFFFF"/>
                    </w:rPr>
                    <w:t xml:space="preserve"> une stabilité à l’ARN et une expression protéique totale élevée</w:t>
                  </w:r>
                </w:p>
              </w:txbxContent>
            </v:textbox>
          </v:shape>
        </w:pict>
      </w:r>
      <w:r>
        <w:rPr>
          <w:rFonts w:asciiTheme="minorHAnsi" w:hAnsiTheme="minorHAnsi" w:cstheme="minorHAnsi"/>
          <w:noProof/>
          <w:sz w:val="22"/>
          <w:szCs w:val="22"/>
          <w:lang w:eastAsia="fr-FR"/>
        </w:rPr>
        <w:pict>
          <v:shape id="_x0000_s1028" type="#_x0000_t61" style="position:absolute;left:0;text-align:left;margin-left:104.25pt;margin-top:7.9pt;width:156.25pt;height:61.1pt;z-index:251660288" adj="10416,-8962">
            <v:textbox>
              <w:txbxContent>
                <w:p w:rsidR="00A814B2" w:rsidRPr="00A814B2" w:rsidRDefault="00A814B2">
                  <w:pPr>
                    <w:rPr>
                      <w:rFonts w:asciiTheme="minorHAnsi" w:hAnsiTheme="minorHAnsi" w:cstheme="minorHAnsi"/>
                    </w:rPr>
                  </w:pPr>
                  <w:r>
                    <w:rPr>
                      <w:rFonts w:asciiTheme="minorHAnsi" w:hAnsiTheme="minorHAnsi" w:cstheme="minorHAnsi"/>
                      <w:color w:val="222222"/>
                      <w:sz w:val="22"/>
                      <w:szCs w:val="22"/>
                      <w:shd w:val="clear" w:color="auto" w:fill="FFFFFF"/>
                    </w:rPr>
                    <w:t>J</w:t>
                  </w:r>
                  <w:r w:rsidRPr="00A814B2">
                    <w:rPr>
                      <w:rFonts w:asciiTheme="minorHAnsi" w:hAnsiTheme="minorHAnsi" w:cstheme="minorHAnsi"/>
                      <w:color w:val="222222"/>
                      <w:sz w:val="22"/>
                      <w:szCs w:val="22"/>
                      <w:shd w:val="clear" w:color="auto" w:fill="FFFFFF"/>
                    </w:rPr>
                    <w:t>oue un rôle fondamental dans la stabilité de la molécule d’ARNm et dans l’efficacité de la traduction.</w:t>
                  </w:r>
                </w:p>
              </w:txbxContent>
            </v:textbox>
          </v:shape>
        </w:pict>
      </w:r>
    </w:p>
    <w:p w:rsidR="00A814B2" w:rsidRDefault="00A814B2" w:rsidP="00A814B2">
      <w:pPr>
        <w:suppressAutoHyphens w:val="0"/>
        <w:jc w:val="center"/>
        <w:rPr>
          <w:rFonts w:asciiTheme="minorHAnsi" w:hAnsiTheme="minorHAnsi" w:cstheme="minorHAnsi"/>
          <w:sz w:val="22"/>
          <w:szCs w:val="22"/>
        </w:rPr>
      </w:pPr>
    </w:p>
    <w:p w:rsidR="00A814B2" w:rsidRDefault="00A814B2" w:rsidP="00A814B2">
      <w:pPr>
        <w:suppressAutoHyphens w:val="0"/>
        <w:jc w:val="center"/>
        <w:rPr>
          <w:rFonts w:asciiTheme="minorHAnsi" w:hAnsiTheme="minorHAnsi" w:cstheme="minorHAnsi"/>
          <w:sz w:val="22"/>
          <w:szCs w:val="22"/>
        </w:rPr>
      </w:pPr>
    </w:p>
    <w:p w:rsidR="00A814B2" w:rsidRDefault="00A814B2" w:rsidP="00A814B2">
      <w:pPr>
        <w:suppressAutoHyphens w:val="0"/>
        <w:jc w:val="center"/>
        <w:rPr>
          <w:rFonts w:asciiTheme="minorHAnsi" w:hAnsiTheme="minorHAnsi" w:cstheme="minorHAnsi"/>
          <w:sz w:val="22"/>
          <w:szCs w:val="22"/>
        </w:rPr>
      </w:pPr>
    </w:p>
    <w:p w:rsidR="00A814B2" w:rsidRDefault="00A814B2" w:rsidP="00A814B2">
      <w:pPr>
        <w:suppressAutoHyphens w:val="0"/>
        <w:jc w:val="center"/>
        <w:rPr>
          <w:rFonts w:asciiTheme="minorHAnsi" w:hAnsiTheme="minorHAnsi" w:cstheme="minorHAnsi"/>
          <w:sz w:val="22"/>
          <w:szCs w:val="22"/>
        </w:rPr>
      </w:pPr>
    </w:p>
    <w:p w:rsidR="00A814B2" w:rsidRDefault="00A814B2" w:rsidP="00A814B2">
      <w:pPr>
        <w:suppressAutoHyphens w:val="0"/>
        <w:jc w:val="center"/>
        <w:rPr>
          <w:rFonts w:asciiTheme="minorHAnsi" w:hAnsiTheme="minorHAnsi" w:cstheme="minorHAnsi"/>
          <w:sz w:val="22"/>
          <w:szCs w:val="22"/>
        </w:rPr>
      </w:pPr>
    </w:p>
    <w:p w:rsidR="00133688" w:rsidRDefault="00133688" w:rsidP="000E51CF">
      <w:pPr>
        <w:suppressAutoHyphens w:val="0"/>
        <w:rPr>
          <w:rFonts w:asciiTheme="minorHAnsi" w:hAnsiTheme="minorHAnsi" w:cstheme="minorHAnsi"/>
          <w:sz w:val="22"/>
          <w:szCs w:val="22"/>
        </w:rPr>
      </w:pPr>
      <w:r>
        <w:rPr>
          <w:rFonts w:asciiTheme="minorHAnsi" w:hAnsiTheme="minorHAnsi" w:cstheme="minorHAnsi"/>
          <w:sz w:val="22"/>
          <w:szCs w:val="22"/>
        </w:rPr>
        <w:t>Q1 : quelle</w:t>
      </w:r>
      <w:r w:rsidR="00234784">
        <w:rPr>
          <w:rFonts w:asciiTheme="minorHAnsi" w:hAnsiTheme="minorHAnsi" w:cstheme="minorHAnsi"/>
          <w:sz w:val="22"/>
          <w:szCs w:val="22"/>
        </w:rPr>
        <w:t>s</w:t>
      </w:r>
      <w:r>
        <w:rPr>
          <w:rFonts w:asciiTheme="minorHAnsi" w:hAnsiTheme="minorHAnsi" w:cstheme="minorHAnsi"/>
          <w:sz w:val="22"/>
          <w:szCs w:val="22"/>
        </w:rPr>
        <w:t xml:space="preserve"> molécule</w:t>
      </w:r>
      <w:r w:rsidR="00234784">
        <w:rPr>
          <w:rFonts w:asciiTheme="minorHAnsi" w:hAnsiTheme="minorHAnsi" w:cstheme="minorHAnsi"/>
          <w:sz w:val="22"/>
          <w:szCs w:val="22"/>
        </w:rPr>
        <w:t>s</w:t>
      </w:r>
      <w:r>
        <w:rPr>
          <w:rFonts w:asciiTheme="minorHAnsi" w:hAnsiTheme="minorHAnsi" w:cstheme="minorHAnsi"/>
          <w:sz w:val="22"/>
          <w:szCs w:val="22"/>
        </w:rPr>
        <w:t xml:space="preserve"> faudrait-il sélectionner, dans la banque de séquences, pour identifier où se trouve concrètement la partie qui permet la synthèse des molécules immunogènes </w:t>
      </w:r>
      <w:r w:rsidR="00997FAC">
        <w:rPr>
          <w:rFonts w:asciiTheme="minorHAnsi" w:hAnsiTheme="minorHAnsi" w:cstheme="minorHAnsi"/>
          <w:sz w:val="22"/>
          <w:szCs w:val="22"/>
        </w:rPr>
        <w:t>par le vaccin</w:t>
      </w:r>
      <w:r>
        <w:rPr>
          <w:rFonts w:asciiTheme="minorHAnsi" w:hAnsiTheme="minorHAnsi" w:cstheme="minorHAnsi"/>
          <w:sz w:val="22"/>
          <w:szCs w:val="22"/>
        </w:rPr>
        <w:t>?</w:t>
      </w:r>
    </w:p>
    <w:p w:rsidR="00133688" w:rsidRDefault="00133688" w:rsidP="000E51CF">
      <w:pPr>
        <w:suppressAutoHyphens w:val="0"/>
        <w:rPr>
          <w:rFonts w:asciiTheme="minorHAnsi" w:hAnsiTheme="minorHAnsi" w:cstheme="minorHAnsi"/>
          <w:sz w:val="22"/>
          <w:szCs w:val="22"/>
        </w:rPr>
      </w:pPr>
      <w:r>
        <w:rPr>
          <w:rFonts w:asciiTheme="minorHAnsi" w:hAnsiTheme="minorHAnsi" w:cstheme="minorHAnsi"/>
          <w:sz w:val="22"/>
          <w:szCs w:val="22"/>
        </w:rPr>
        <w:t xml:space="preserve">Q2 : </w:t>
      </w:r>
      <w:r w:rsidRPr="00234784">
        <w:rPr>
          <w:rFonts w:asciiTheme="minorHAnsi" w:hAnsiTheme="minorHAnsi" w:cstheme="minorHAnsi"/>
          <w:b/>
          <w:sz w:val="22"/>
          <w:szCs w:val="22"/>
        </w:rPr>
        <w:t>indiquez</w:t>
      </w:r>
      <w:r>
        <w:rPr>
          <w:rFonts w:asciiTheme="minorHAnsi" w:hAnsiTheme="minorHAnsi" w:cstheme="minorHAnsi"/>
          <w:sz w:val="22"/>
          <w:szCs w:val="22"/>
        </w:rPr>
        <w:t xml:space="preserve"> son emplacement précis en termes de séquence (de l’élément N°… au N°…) </w:t>
      </w:r>
    </w:p>
    <w:p w:rsidR="00437745" w:rsidRDefault="00437745" w:rsidP="000E51CF">
      <w:pPr>
        <w:suppressAutoHyphens w:val="0"/>
        <w:rPr>
          <w:rFonts w:asciiTheme="minorHAnsi" w:hAnsiTheme="minorHAnsi" w:cstheme="minorHAnsi"/>
          <w:sz w:val="22"/>
          <w:szCs w:val="22"/>
        </w:rPr>
      </w:pPr>
      <w:r>
        <w:rPr>
          <w:rFonts w:asciiTheme="minorHAnsi" w:hAnsiTheme="minorHAnsi" w:cstheme="minorHAnsi"/>
          <w:sz w:val="22"/>
          <w:szCs w:val="22"/>
        </w:rPr>
        <w:t>Q3 : toujours en utilisant ce logiciel de traitement de données, comment vérifier la pureté de l’ARNm du vaccin ?</w:t>
      </w:r>
    </w:p>
    <w:p w:rsidR="00437745" w:rsidRPr="006C5905" w:rsidRDefault="00437745" w:rsidP="00437745">
      <w:pPr>
        <w:suppressAutoHyphens w:val="0"/>
        <w:jc w:val="center"/>
        <w:rPr>
          <w:rFonts w:asciiTheme="minorHAnsi" w:hAnsiTheme="minorHAnsi" w:cstheme="minorHAnsi"/>
          <w:b/>
          <w:color w:val="C00000"/>
          <w:sz w:val="22"/>
          <w:szCs w:val="22"/>
        </w:rPr>
      </w:pPr>
      <w:r w:rsidRPr="006C5905">
        <w:rPr>
          <w:rFonts w:asciiTheme="minorHAnsi" w:hAnsiTheme="minorHAnsi" w:cstheme="minorHAnsi"/>
          <w:b/>
          <w:color w:val="C00000"/>
          <w:sz w:val="22"/>
          <w:szCs w:val="22"/>
        </w:rPr>
        <w:t>Appelez le professeur pour vérification et recevez les étapes de manipulation.</w:t>
      </w:r>
    </w:p>
    <w:p w:rsidR="00437745" w:rsidRDefault="00437745" w:rsidP="000E51CF">
      <w:pPr>
        <w:suppressAutoHyphens w:val="0"/>
        <w:rPr>
          <w:rFonts w:asciiTheme="minorHAnsi" w:hAnsiTheme="minorHAnsi" w:cstheme="minorHAnsi"/>
          <w:sz w:val="22"/>
          <w:szCs w:val="22"/>
        </w:rPr>
      </w:pPr>
      <w:r>
        <w:rPr>
          <w:rFonts w:asciiTheme="minorHAnsi" w:hAnsiTheme="minorHAnsi" w:cstheme="minorHAnsi"/>
          <w:sz w:val="22"/>
          <w:szCs w:val="22"/>
        </w:rPr>
        <w:t xml:space="preserve">Q4 : Faites cette vérification et </w:t>
      </w:r>
      <w:r w:rsidRPr="00234784">
        <w:rPr>
          <w:rFonts w:asciiTheme="minorHAnsi" w:hAnsiTheme="minorHAnsi" w:cstheme="minorHAnsi"/>
          <w:b/>
          <w:sz w:val="22"/>
          <w:szCs w:val="22"/>
        </w:rPr>
        <w:t>expliquez</w:t>
      </w:r>
      <w:r>
        <w:rPr>
          <w:rFonts w:asciiTheme="minorHAnsi" w:hAnsiTheme="minorHAnsi" w:cstheme="minorHAnsi"/>
          <w:sz w:val="22"/>
          <w:szCs w:val="22"/>
        </w:rPr>
        <w:t xml:space="preserve"> les résultats obtenus.</w:t>
      </w:r>
    </w:p>
    <w:p w:rsidR="002D17F6" w:rsidRDefault="00AA347D" w:rsidP="000E51CF">
      <w:pPr>
        <w:suppressAutoHyphens w:val="0"/>
        <w:rPr>
          <w:rFonts w:asciiTheme="minorHAnsi" w:hAnsiTheme="minorHAnsi" w:cstheme="minorHAnsi"/>
          <w:sz w:val="22"/>
          <w:szCs w:val="22"/>
        </w:rPr>
      </w:pPr>
      <w:r>
        <w:rPr>
          <w:rFonts w:asciiTheme="minorHAnsi" w:hAnsiTheme="minorHAnsi" w:cstheme="minorHAnsi"/>
          <w:sz w:val="22"/>
          <w:szCs w:val="22"/>
        </w:rPr>
        <w:t>Q5</w:t>
      </w:r>
      <w:r w:rsidR="002D17F6">
        <w:rPr>
          <w:rFonts w:asciiTheme="minorHAnsi" w:hAnsiTheme="minorHAnsi" w:cstheme="minorHAnsi"/>
          <w:sz w:val="22"/>
          <w:szCs w:val="22"/>
        </w:rPr>
        <w:t> : Pour savoir à quoi correspondent les informations contenues dans l’ARN m</w:t>
      </w:r>
      <w:r w:rsidR="00437745">
        <w:rPr>
          <w:rFonts w:asciiTheme="minorHAnsi" w:hAnsiTheme="minorHAnsi" w:cstheme="minorHAnsi"/>
          <w:sz w:val="22"/>
          <w:szCs w:val="22"/>
        </w:rPr>
        <w:t xml:space="preserve"> du vaccin,</w:t>
      </w:r>
      <w:r w:rsidR="002D17F6">
        <w:rPr>
          <w:rFonts w:asciiTheme="minorHAnsi" w:hAnsiTheme="minorHAnsi" w:cstheme="minorHAnsi"/>
          <w:sz w:val="22"/>
          <w:szCs w:val="22"/>
        </w:rPr>
        <w:t xml:space="preserve"> il faut les traduire ; pour cela </w:t>
      </w:r>
      <w:r w:rsidR="002D17F6" w:rsidRPr="00234784">
        <w:rPr>
          <w:rFonts w:asciiTheme="minorHAnsi" w:hAnsiTheme="minorHAnsi" w:cstheme="minorHAnsi"/>
          <w:b/>
          <w:sz w:val="22"/>
          <w:szCs w:val="22"/>
        </w:rPr>
        <w:t>sélectionnez</w:t>
      </w:r>
      <w:r w:rsidR="002D17F6">
        <w:rPr>
          <w:rFonts w:asciiTheme="minorHAnsi" w:hAnsiTheme="minorHAnsi" w:cstheme="minorHAnsi"/>
          <w:sz w:val="22"/>
          <w:szCs w:val="22"/>
        </w:rPr>
        <w:t xml:space="preserve"> la bonne molécule et cliquez sur </w:t>
      </w:r>
      <w:r w:rsidR="002D17F6" w:rsidRPr="00437745">
        <w:rPr>
          <w:rFonts w:asciiTheme="minorHAnsi" w:hAnsiTheme="minorHAnsi" w:cstheme="minorHAnsi"/>
          <w:sz w:val="22"/>
          <w:szCs w:val="22"/>
        </w:rPr>
        <w:t>« Actions/Traduire les séquences sélectionnées</w:t>
      </w:r>
      <w:r w:rsidR="00437745" w:rsidRPr="00437745">
        <w:rPr>
          <w:rFonts w:asciiTheme="minorHAnsi" w:hAnsiTheme="minorHAnsi" w:cstheme="minorHAnsi"/>
          <w:sz w:val="22"/>
          <w:szCs w:val="22"/>
        </w:rPr>
        <w:t>, depuis le départ</w:t>
      </w:r>
      <w:r w:rsidR="002D17F6" w:rsidRPr="00437745">
        <w:rPr>
          <w:rFonts w:asciiTheme="minorHAnsi" w:hAnsiTheme="minorHAnsi" w:cstheme="minorHAnsi"/>
          <w:sz w:val="22"/>
          <w:szCs w:val="22"/>
        </w:rPr>
        <w:t> » dans le menu.</w:t>
      </w:r>
    </w:p>
    <w:p w:rsidR="00AA347D" w:rsidRDefault="00AA347D" w:rsidP="000E51CF">
      <w:pPr>
        <w:suppressAutoHyphens w:val="0"/>
        <w:rPr>
          <w:rFonts w:asciiTheme="minorHAnsi" w:hAnsiTheme="minorHAnsi" w:cstheme="minorHAnsi"/>
          <w:sz w:val="22"/>
          <w:szCs w:val="22"/>
        </w:rPr>
      </w:pPr>
      <w:r>
        <w:rPr>
          <w:rFonts w:asciiTheme="minorHAnsi" w:hAnsiTheme="minorHAnsi" w:cstheme="minorHAnsi"/>
          <w:sz w:val="22"/>
          <w:szCs w:val="22"/>
        </w:rPr>
        <w:t>Q6 en quoi consiste cette traduction concrètement.</w:t>
      </w:r>
    </w:p>
    <w:p w:rsidR="00AA347D" w:rsidRDefault="00AA347D" w:rsidP="000E51CF">
      <w:pPr>
        <w:suppressAutoHyphens w:val="0"/>
        <w:rPr>
          <w:rFonts w:asciiTheme="minorHAnsi" w:hAnsiTheme="minorHAnsi" w:cstheme="minorHAnsi"/>
          <w:sz w:val="22"/>
          <w:szCs w:val="22"/>
        </w:rPr>
      </w:pPr>
      <w:r>
        <w:rPr>
          <w:rFonts w:asciiTheme="minorHAnsi" w:hAnsiTheme="minorHAnsi" w:cstheme="minorHAnsi"/>
          <w:sz w:val="22"/>
          <w:szCs w:val="22"/>
        </w:rPr>
        <w:t xml:space="preserve">Q7 : </w:t>
      </w:r>
      <w:r w:rsidRPr="00234784">
        <w:rPr>
          <w:rFonts w:asciiTheme="minorHAnsi" w:hAnsiTheme="minorHAnsi" w:cstheme="minorHAnsi"/>
          <w:b/>
          <w:sz w:val="22"/>
          <w:szCs w:val="22"/>
        </w:rPr>
        <w:t>comparez</w:t>
      </w:r>
      <w:r>
        <w:rPr>
          <w:rFonts w:asciiTheme="minorHAnsi" w:hAnsiTheme="minorHAnsi" w:cstheme="minorHAnsi"/>
          <w:sz w:val="22"/>
          <w:szCs w:val="22"/>
        </w:rPr>
        <w:t xml:space="preserve"> la séquence obtenue avec la molécule la plus judicieuse des séquences chargées. (</w:t>
      </w:r>
      <w:r w:rsidR="00493A37">
        <w:rPr>
          <w:rFonts w:asciiTheme="minorHAnsi" w:hAnsiTheme="minorHAnsi" w:cstheme="minorHAnsi"/>
          <w:sz w:val="22"/>
          <w:szCs w:val="22"/>
        </w:rPr>
        <w:t>Menu</w:t>
      </w:r>
      <w:r>
        <w:rPr>
          <w:rFonts w:asciiTheme="minorHAnsi" w:hAnsiTheme="minorHAnsi" w:cstheme="minorHAnsi"/>
          <w:sz w:val="22"/>
          <w:szCs w:val="22"/>
        </w:rPr>
        <w:t xml:space="preserve"> actions – aligner les séquences sélectionnées)</w:t>
      </w:r>
      <w:r w:rsidR="00234784">
        <w:rPr>
          <w:rFonts w:asciiTheme="minorHAnsi" w:hAnsiTheme="minorHAnsi" w:cstheme="minorHAnsi"/>
          <w:sz w:val="22"/>
          <w:szCs w:val="22"/>
        </w:rPr>
        <w:t xml:space="preserve"> afin de prouver qu’une maturation de la molécule a bien eu lieu.</w:t>
      </w:r>
    </w:p>
    <w:p w:rsidR="00493A37" w:rsidRPr="006C5905" w:rsidRDefault="00493A37" w:rsidP="00493A37">
      <w:pPr>
        <w:suppressAutoHyphens w:val="0"/>
        <w:jc w:val="center"/>
        <w:rPr>
          <w:rFonts w:asciiTheme="minorHAnsi" w:hAnsiTheme="minorHAnsi" w:cstheme="minorHAnsi"/>
          <w:b/>
          <w:color w:val="C00000"/>
          <w:sz w:val="22"/>
          <w:szCs w:val="22"/>
        </w:rPr>
      </w:pPr>
      <w:r w:rsidRPr="006C5905">
        <w:rPr>
          <w:rFonts w:asciiTheme="minorHAnsi" w:hAnsiTheme="minorHAnsi" w:cstheme="minorHAnsi"/>
          <w:b/>
          <w:color w:val="C00000"/>
          <w:sz w:val="22"/>
          <w:szCs w:val="22"/>
        </w:rPr>
        <w:t>Appelez le professeur p</w:t>
      </w:r>
      <w:r w:rsidR="00234784">
        <w:rPr>
          <w:rFonts w:asciiTheme="minorHAnsi" w:hAnsiTheme="minorHAnsi" w:cstheme="minorHAnsi"/>
          <w:b/>
          <w:color w:val="C00000"/>
          <w:sz w:val="22"/>
          <w:szCs w:val="22"/>
        </w:rPr>
        <w:t>our vérification</w:t>
      </w:r>
    </w:p>
    <w:p w:rsidR="00503E14" w:rsidRPr="00EF08AA" w:rsidRDefault="000E1768" w:rsidP="00493A37">
      <w:pPr>
        <w:suppressAutoHyphens w:val="0"/>
        <w:rPr>
          <w:rFonts w:asciiTheme="minorHAnsi" w:hAnsiTheme="minorHAnsi" w:cstheme="minorHAnsi"/>
          <w:b/>
        </w:rPr>
      </w:pPr>
      <w:r>
        <w:rPr>
          <w:rFonts w:asciiTheme="minorHAnsi" w:hAnsiTheme="minorHAnsi" w:cstheme="minorHAnsi"/>
          <w:sz w:val="22"/>
          <w:szCs w:val="22"/>
        </w:rPr>
        <w:t xml:space="preserve">Q8 : </w:t>
      </w:r>
      <w:r w:rsidR="00493A37">
        <w:rPr>
          <w:rFonts w:asciiTheme="minorHAnsi" w:hAnsiTheme="minorHAnsi" w:cstheme="minorHAnsi"/>
          <w:sz w:val="22"/>
          <w:szCs w:val="22"/>
        </w:rPr>
        <w:t xml:space="preserve">En vous aidant des observations faites grâce au logiciel, </w:t>
      </w:r>
      <w:r w:rsidR="00493A37" w:rsidRPr="00234784">
        <w:rPr>
          <w:rFonts w:asciiTheme="minorHAnsi" w:hAnsiTheme="minorHAnsi" w:cstheme="minorHAnsi"/>
          <w:b/>
          <w:sz w:val="22"/>
          <w:szCs w:val="22"/>
        </w:rPr>
        <w:t>expliquez</w:t>
      </w:r>
      <w:r w:rsidR="00493A37">
        <w:rPr>
          <w:rFonts w:asciiTheme="minorHAnsi" w:hAnsiTheme="minorHAnsi" w:cstheme="minorHAnsi"/>
          <w:sz w:val="22"/>
          <w:szCs w:val="22"/>
        </w:rPr>
        <w:t xml:space="preserve"> la nature et le rôle du vaccin contre le </w:t>
      </w:r>
      <w:proofErr w:type="spellStart"/>
      <w:r w:rsidR="00493A37">
        <w:rPr>
          <w:rFonts w:asciiTheme="minorHAnsi" w:hAnsiTheme="minorHAnsi" w:cstheme="minorHAnsi"/>
          <w:sz w:val="22"/>
          <w:szCs w:val="22"/>
        </w:rPr>
        <w:t>covid</w:t>
      </w:r>
      <w:proofErr w:type="spellEnd"/>
      <w:r w:rsidR="00493A37">
        <w:rPr>
          <w:rFonts w:asciiTheme="minorHAnsi" w:hAnsiTheme="minorHAnsi" w:cstheme="minorHAnsi"/>
          <w:sz w:val="22"/>
          <w:szCs w:val="22"/>
        </w:rPr>
        <w:t xml:space="preserve"> 19</w:t>
      </w:r>
      <w:r w:rsidR="00234784">
        <w:rPr>
          <w:rFonts w:asciiTheme="minorHAnsi" w:hAnsiTheme="minorHAnsi" w:cstheme="minorHAnsi"/>
          <w:sz w:val="22"/>
          <w:szCs w:val="22"/>
        </w:rPr>
        <w:t>.</w:t>
      </w:r>
    </w:p>
    <w:sectPr w:rsidR="00503E14" w:rsidRPr="00EF08AA" w:rsidSect="009D2579">
      <w:pgSz w:w="11906" w:h="16838" w:code="9"/>
      <w:pgMar w:top="284" w:right="244" w:bottom="255" w:left="23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EE75A5"/>
    <w:multiLevelType w:val="hybridMultilevel"/>
    <w:tmpl w:val="3CA4B1E8"/>
    <w:lvl w:ilvl="0" w:tplc="2E6E9CD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2CE57B0D"/>
    <w:multiLevelType w:val="multilevel"/>
    <w:tmpl w:val="D9E6E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10A5CB8"/>
    <w:multiLevelType w:val="hybridMultilevel"/>
    <w:tmpl w:val="024220FE"/>
    <w:lvl w:ilvl="0" w:tplc="4E1E294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750D489E"/>
    <w:multiLevelType w:val="hybridMultilevel"/>
    <w:tmpl w:val="FA321BB2"/>
    <w:lvl w:ilvl="0" w:tplc="D130BB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drawingGridHorizontalSpacing w:val="110"/>
  <w:displayHorizontalDrawingGridEvery w:val="2"/>
  <w:displayVerticalDrawingGridEvery w:val="2"/>
  <w:characterSpacingControl w:val="doNotCompress"/>
  <w:compat/>
  <w:rsids>
    <w:rsidRoot w:val="00017D75"/>
    <w:rsid w:val="00017D75"/>
    <w:rsid w:val="000A792F"/>
    <w:rsid w:val="000E1768"/>
    <w:rsid w:val="000E37DD"/>
    <w:rsid w:val="000E51CF"/>
    <w:rsid w:val="00133688"/>
    <w:rsid w:val="00133D89"/>
    <w:rsid w:val="001512F6"/>
    <w:rsid w:val="001F4183"/>
    <w:rsid w:val="00234784"/>
    <w:rsid w:val="00245D4D"/>
    <w:rsid w:val="00290911"/>
    <w:rsid w:val="002D17F6"/>
    <w:rsid w:val="00437745"/>
    <w:rsid w:val="00493A37"/>
    <w:rsid w:val="00503E14"/>
    <w:rsid w:val="006C5905"/>
    <w:rsid w:val="007329B2"/>
    <w:rsid w:val="0078647D"/>
    <w:rsid w:val="00794C97"/>
    <w:rsid w:val="007E0EAD"/>
    <w:rsid w:val="008245CE"/>
    <w:rsid w:val="00825A9A"/>
    <w:rsid w:val="008B1187"/>
    <w:rsid w:val="00997FAC"/>
    <w:rsid w:val="009D2579"/>
    <w:rsid w:val="009E4BCC"/>
    <w:rsid w:val="00A814B2"/>
    <w:rsid w:val="00AA347D"/>
    <w:rsid w:val="00B86A33"/>
    <w:rsid w:val="00C71156"/>
    <w:rsid w:val="00D532DB"/>
    <w:rsid w:val="00DB39BF"/>
    <w:rsid w:val="00DD524B"/>
    <w:rsid w:val="00E05B9B"/>
    <w:rsid w:val="00EF08AA"/>
    <w:rsid w:val="00F0749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rules v:ext="edit">
        <o:r id="V:Rule2" type="callout" idref="#_x0000_s1026"/>
        <o:r id="V:Rule4" type="callout" idref="#_x0000_s1027"/>
        <o:r id="V:Rule6" type="callout" idref="#_x0000_s1028"/>
        <o:r id="V:Rule8" type="callout" idref="#_x0000_s1029"/>
        <o:r id="V:Rule10" type="callout" idref="#_x0000_s1030"/>
        <o:r id="V:Rule12" type="callout"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7D75"/>
    <w:pPr>
      <w:suppressAutoHyphens/>
      <w:spacing w:after="0" w:line="240" w:lineRule="auto"/>
    </w:pPr>
    <w:rPr>
      <w:rFonts w:ascii="Times New Roman" w:eastAsia="Times New Roman" w:hAnsi="Times New Roman" w:cs="Times New Roman"/>
      <w:sz w:val="20"/>
      <w:szCs w:val="20"/>
      <w:lang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detexte31">
    <w:name w:val="Corps de texte 31"/>
    <w:basedOn w:val="Normal"/>
    <w:rsid w:val="00017D75"/>
    <w:pPr>
      <w:jc w:val="center"/>
    </w:pPr>
    <w:rPr>
      <w:sz w:val="22"/>
      <w:szCs w:val="16"/>
    </w:rPr>
  </w:style>
  <w:style w:type="table" w:styleId="Grilledutableau">
    <w:name w:val="Table Grid"/>
    <w:basedOn w:val="TableauNormal"/>
    <w:uiPriority w:val="59"/>
    <w:rsid w:val="00F074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503E14"/>
    <w:pPr>
      <w:suppressAutoHyphens w:val="0"/>
      <w:spacing w:before="100" w:beforeAutospacing="1" w:after="100" w:afterAutospacing="1"/>
    </w:pPr>
    <w:rPr>
      <w:sz w:val="24"/>
      <w:szCs w:val="24"/>
      <w:lang w:eastAsia="fr-FR"/>
    </w:rPr>
  </w:style>
  <w:style w:type="character" w:styleId="Accentuation">
    <w:name w:val="Emphasis"/>
    <w:uiPriority w:val="20"/>
    <w:qFormat/>
    <w:rsid w:val="00503E14"/>
    <w:rPr>
      <w:i/>
      <w:iCs/>
    </w:rPr>
  </w:style>
  <w:style w:type="paragraph" w:styleId="Textedebulles">
    <w:name w:val="Balloon Text"/>
    <w:basedOn w:val="Normal"/>
    <w:link w:val="TextedebullesCar"/>
    <w:uiPriority w:val="99"/>
    <w:semiHidden/>
    <w:unhideWhenUsed/>
    <w:rsid w:val="000E37DD"/>
    <w:rPr>
      <w:rFonts w:ascii="Tahoma" w:hAnsi="Tahoma" w:cs="Tahoma"/>
      <w:sz w:val="16"/>
      <w:szCs w:val="16"/>
    </w:rPr>
  </w:style>
  <w:style w:type="character" w:customStyle="1" w:styleId="TextedebullesCar">
    <w:name w:val="Texte de bulles Car"/>
    <w:basedOn w:val="Policepardfaut"/>
    <w:link w:val="Textedebulles"/>
    <w:uiPriority w:val="99"/>
    <w:semiHidden/>
    <w:rsid w:val="000E37DD"/>
    <w:rPr>
      <w:rFonts w:ascii="Tahoma" w:eastAsia="Times New Roman" w:hAnsi="Tahoma" w:cs="Tahoma"/>
      <w:sz w:val="16"/>
      <w:szCs w:val="16"/>
      <w:lang w:eastAsia="ar-SA"/>
    </w:rPr>
  </w:style>
  <w:style w:type="character" w:styleId="Lienhypertexte">
    <w:name w:val="Hyperlink"/>
    <w:basedOn w:val="Policepardfaut"/>
    <w:uiPriority w:val="99"/>
    <w:semiHidden/>
    <w:unhideWhenUsed/>
    <w:rsid w:val="00D532DB"/>
    <w:rPr>
      <w:color w:val="0000FF"/>
      <w:u w:val="single"/>
    </w:rPr>
  </w:style>
  <w:style w:type="paragraph" w:styleId="Paragraphedeliste">
    <w:name w:val="List Paragraph"/>
    <w:basedOn w:val="Normal"/>
    <w:uiPriority w:val="34"/>
    <w:qFormat/>
    <w:rsid w:val="007E0EAD"/>
    <w:pPr>
      <w:ind w:left="720"/>
      <w:contextualSpacing/>
    </w:pPr>
  </w:style>
  <w:style w:type="character" w:styleId="lev">
    <w:name w:val="Strong"/>
    <w:basedOn w:val="Policepardfaut"/>
    <w:uiPriority w:val="22"/>
    <w:qFormat/>
    <w:rsid w:val="009E4BCC"/>
    <w:rPr>
      <w:b/>
      <w:bCs/>
    </w:rPr>
  </w:style>
</w:styles>
</file>

<file path=word/webSettings.xml><?xml version="1.0" encoding="utf-8"?>
<w:webSettings xmlns:r="http://schemas.openxmlformats.org/officeDocument/2006/relationships" xmlns:w="http://schemas.openxmlformats.org/wordprocessingml/2006/main">
  <w:divs>
    <w:div w:id="474876923">
      <w:bodyDiv w:val="1"/>
      <w:marLeft w:val="0"/>
      <w:marRight w:val="0"/>
      <w:marTop w:val="0"/>
      <w:marBottom w:val="0"/>
      <w:divBdr>
        <w:top w:val="none" w:sz="0" w:space="0" w:color="auto"/>
        <w:left w:val="none" w:sz="0" w:space="0" w:color="auto"/>
        <w:bottom w:val="none" w:sz="0" w:space="0" w:color="auto"/>
        <w:right w:val="none" w:sz="0" w:space="0" w:color="auto"/>
      </w:divBdr>
    </w:div>
    <w:div w:id="839396151">
      <w:bodyDiv w:val="1"/>
      <w:marLeft w:val="0"/>
      <w:marRight w:val="0"/>
      <w:marTop w:val="0"/>
      <w:marBottom w:val="0"/>
      <w:divBdr>
        <w:top w:val="none" w:sz="0" w:space="0" w:color="auto"/>
        <w:left w:val="none" w:sz="0" w:space="0" w:color="auto"/>
        <w:bottom w:val="none" w:sz="0" w:space="0" w:color="auto"/>
        <w:right w:val="none" w:sz="0" w:space="0" w:color="auto"/>
      </w:divBdr>
    </w:div>
    <w:div w:id="1147628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oleObject" Target="embeddings/oleObject6.bin"/><Relationship Id="rId34"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hyperlink" Target="https://berthub.eu/articles/posts/reverse-engineering-source-code-of-the-biontech-pfizer-vaccine/" TargetMode="External"/><Relationship Id="rId25" Type="http://schemas.openxmlformats.org/officeDocument/2006/relationships/oleObject" Target="embeddings/oleObject8.bin"/><Relationship Id="rId33" Type="http://schemas.openxmlformats.org/officeDocument/2006/relationships/oleObject" Target="embeddings/oleObject12.bin"/><Relationship Id="rId2" Type="http://schemas.openxmlformats.org/officeDocument/2006/relationships/styles" Target="styles.xml"/><Relationship Id="rId16" Type="http://schemas.openxmlformats.org/officeDocument/2006/relationships/hyperlink" Target="https://twitter.com/renaudguerin" TargetMode="External"/><Relationship Id="rId20" Type="http://schemas.openxmlformats.org/officeDocument/2006/relationships/image" Target="media/image8.png"/><Relationship Id="rId29"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oleObject" Target="embeddings/oleObject3.bin"/><Relationship Id="rId19" Type="http://schemas.openxmlformats.org/officeDocument/2006/relationships/hyperlink" Target="https://codexdna.com/products/bioxp-system/" TargetMode="External"/><Relationship Id="rId31" Type="http://schemas.openxmlformats.org/officeDocument/2006/relationships/oleObject" Target="embeddings/oleObject11.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image" Target="media/image9.png"/><Relationship Id="rId27" Type="http://schemas.openxmlformats.org/officeDocument/2006/relationships/oleObject" Target="embeddings/oleObject9.bin"/><Relationship Id="rId30" Type="http://schemas.openxmlformats.org/officeDocument/2006/relationships/image" Target="media/image13.png"/><Relationship Id="rId35" Type="http://schemas.openxmlformats.org/officeDocument/2006/relationships/image" Target="media/image1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293</TotalTime>
  <Pages>3</Pages>
  <Words>911</Words>
  <Characters>5014</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5914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dc:creator>
  <cp:lastModifiedBy>mel</cp:lastModifiedBy>
  <cp:revision>7</cp:revision>
  <dcterms:created xsi:type="dcterms:W3CDTF">2022-03-13T09:34:00Z</dcterms:created>
  <dcterms:modified xsi:type="dcterms:W3CDTF">2022-03-13T15:10:00Z</dcterms:modified>
</cp:coreProperties>
</file>