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1" w:type="dxa"/>
        <w:tblInd w:w="-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5"/>
        <w:gridCol w:w="8916"/>
      </w:tblGrid>
      <w:tr w:rsidR="00CB576D" w:rsidTr="00CB576D">
        <w:trPr>
          <w:trHeight w:val="4953"/>
        </w:trPr>
        <w:tc>
          <w:tcPr>
            <w:tcW w:w="2425" w:type="dxa"/>
          </w:tcPr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  <w:r w:rsidRPr="00F73707">
              <w:rPr>
                <w:rFonts w:ascii="Calibri" w:hAnsi="Calibri" w:cs="Calibri"/>
                <w:sz w:val="18"/>
                <w:szCs w:val="20"/>
              </w:rPr>
              <w:t xml:space="preserve">Aujourd’hui, pour faire face à une demande alimentaire croissante, l’agriculture est entraînée vers un modèle intensif et productiviste. </w:t>
            </w:r>
          </w:p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</w:p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  <w:r w:rsidRPr="00F73707">
              <w:rPr>
                <w:rFonts w:ascii="Calibri" w:hAnsi="Calibri" w:cs="Calibri"/>
                <w:sz w:val="18"/>
                <w:szCs w:val="20"/>
              </w:rPr>
              <w:t xml:space="preserve">Mais ce modèle montre ses limites dans le temps : il dégrade les systèmes naturels environnants, sans lesquels il ne peut survivre, et n’est donc pas durable. </w:t>
            </w:r>
          </w:p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</w:p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  <w:r w:rsidRPr="00F73707">
              <w:rPr>
                <w:rFonts w:ascii="Calibri" w:hAnsi="Calibri" w:cs="Calibri"/>
                <w:sz w:val="18"/>
                <w:szCs w:val="20"/>
              </w:rPr>
              <w:t>Des solutions sont à développer pour passer vers un autre modèle agricole.</w:t>
            </w:r>
          </w:p>
          <w:p w:rsidR="00CB576D" w:rsidRPr="00F73707" w:rsidRDefault="00CB576D" w:rsidP="00B51C4D">
            <w:pPr>
              <w:rPr>
                <w:rFonts w:ascii="Calibri" w:hAnsi="Calibri" w:cs="Calibri"/>
                <w:sz w:val="18"/>
                <w:szCs w:val="20"/>
              </w:rPr>
            </w:pPr>
          </w:p>
          <w:p w:rsidR="00CB576D" w:rsidRPr="00F73707" w:rsidRDefault="00CB576D" w:rsidP="00502367">
            <w:pPr>
              <w:widowControl w:val="0"/>
              <w:rPr>
                <w:rFonts w:ascii="Calibri" w:hAnsi="Calibri" w:cs="Calibri"/>
                <w:sz w:val="20"/>
                <w:szCs w:val="20"/>
              </w:rPr>
            </w:pPr>
            <w:r w:rsidRPr="00F73707">
              <w:rPr>
                <w:rFonts w:ascii="Calibri" w:hAnsi="Calibri" w:cs="Calibri"/>
                <w:sz w:val="18"/>
                <w:szCs w:val="20"/>
              </w:rPr>
              <w:t>La recherche peut apporter son soutien en réduisant : les intrants</w:t>
            </w:r>
            <w:r w:rsidR="00502367">
              <w:rPr>
                <w:rFonts w:ascii="Calibri" w:hAnsi="Calibri" w:cs="Calibri"/>
                <w:sz w:val="18"/>
                <w:szCs w:val="20"/>
              </w:rPr>
              <w:t xml:space="preserve"> (pesticides, semences, irrigations)</w:t>
            </w:r>
            <w:r w:rsidRPr="00F73707">
              <w:rPr>
                <w:rFonts w:ascii="Calibri" w:hAnsi="Calibri" w:cs="Calibri"/>
                <w:sz w:val="18"/>
                <w:szCs w:val="20"/>
              </w:rPr>
              <w:t xml:space="preserve"> et les rejets de GES</w:t>
            </w:r>
            <w:r w:rsidR="00502367">
              <w:rPr>
                <w:rFonts w:ascii="Calibri" w:hAnsi="Calibri" w:cs="Calibri"/>
                <w:sz w:val="18"/>
                <w:szCs w:val="20"/>
              </w:rPr>
              <w:t xml:space="preserve"> (CO2</w:t>
            </w:r>
            <w:proofErr w:type="gramStart"/>
            <w:r w:rsidR="00502367">
              <w:rPr>
                <w:rFonts w:ascii="Calibri" w:hAnsi="Calibri" w:cs="Calibri"/>
                <w:sz w:val="18"/>
                <w:szCs w:val="20"/>
              </w:rPr>
              <w:t>,CH4</w:t>
            </w:r>
            <w:proofErr w:type="gramEnd"/>
            <w:r w:rsidR="00502367">
              <w:rPr>
                <w:rFonts w:ascii="Calibri" w:hAnsi="Calibri" w:cs="Calibri"/>
                <w:sz w:val="18"/>
                <w:szCs w:val="20"/>
              </w:rPr>
              <w:t>)</w:t>
            </w:r>
          </w:p>
        </w:tc>
        <w:tc>
          <w:tcPr>
            <w:tcW w:w="8916" w:type="dxa"/>
          </w:tcPr>
          <w:p w:rsidR="00CB576D" w:rsidRPr="00F73707" w:rsidRDefault="00CB576D" w:rsidP="00B51C4D">
            <w:pPr>
              <w:widowControl w:val="0"/>
              <w:ind w:left="-32"/>
              <w:jc w:val="center"/>
              <w:rPr>
                <w:rFonts w:ascii="Calibri" w:hAnsi="Calibri" w:cs="Calibri"/>
                <w:sz w:val="20"/>
                <w:highlight w:val="white"/>
              </w:rPr>
            </w:pPr>
            <w:r w:rsidRPr="00F73707">
              <w:rPr>
                <w:rFonts w:ascii="Calibri" w:hAnsi="Calibri" w:cs="Calibri"/>
                <w:sz w:val="18"/>
                <w:highlight w:val="white"/>
              </w:rPr>
              <w:t>Carte mentale montrant les différents leviers d'action vers l'essor d'une ag</w:t>
            </w:r>
            <w:r>
              <w:rPr>
                <w:rFonts w:ascii="Calibri" w:hAnsi="Calibri" w:cs="Calibri"/>
                <w:sz w:val="18"/>
                <w:highlight w:val="white"/>
              </w:rPr>
              <w:t>riculture productive et durable</w:t>
            </w:r>
          </w:p>
          <w:p w:rsidR="00CB576D" w:rsidRDefault="00CB576D" w:rsidP="00B51C4D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B7B6C07" wp14:editId="28EC2ED2">
                  <wp:extent cx="5523230" cy="3021330"/>
                  <wp:effectExtent l="0" t="0" r="127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" t="3349" r="3287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23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76D" w:rsidRDefault="00CB576D"/>
    <w:tbl>
      <w:tblPr>
        <w:tblW w:w="1134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5"/>
        <w:gridCol w:w="7236"/>
      </w:tblGrid>
      <w:tr w:rsidR="00CB576D" w:rsidRPr="00CB576D" w:rsidTr="00CB576D">
        <w:trPr>
          <w:trHeight w:val="2950"/>
        </w:trPr>
        <w:tc>
          <w:tcPr>
            <w:tcW w:w="4105" w:type="dxa"/>
          </w:tcPr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La nature et la composition des sols résultent de différentes altérations chimique, physique et biologique qui permettent la dégradation de la roche mère et la mise en place d’horizons.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Il existe de nombreux êtres vivants dans le sol (lombrics, bactéries, champignons) qui participent à la dégradation de la matière organique en matière minérale. ce sont des décomposeurs.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Les lombrics jouent également un rôle dans l’aération des sols permettant un meilleur accès aux ressources pour les végétaux.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 xml:space="preserve">Dans le sol il y a des relations de mangeur </w:t>
            </w:r>
            <w:proofErr w:type="spellStart"/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à</w:t>
            </w:r>
            <w:proofErr w:type="spellEnd"/>
            <w:r w:rsidRPr="0050236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mangé</w:t>
            </w:r>
            <w:proofErr w:type="spellEnd"/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, où l’action de la macrofaune et de la microfaune est complémentaire et s’intègre dans des réseaux alimentaires ou trophiques.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En consommant localement la biomasse morte, les êtres vivants du sol recyclent cette biomasse en éléments minéraux, assurant la fertilité des sols.</w:t>
            </w:r>
          </w:p>
          <w:p w:rsidR="00CB576D" w:rsidRPr="00CB576D" w:rsidRDefault="00CB576D" w:rsidP="00CB576D"/>
        </w:tc>
        <w:tc>
          <w:tcPr>
            <w:tcW w:w="7236" w:type="dxa"/>
          </w:tcPr>
          <w:p w:rsidR="00CB576D" w:rsidRPr="00CB576D" w:rsidRDefault="00CB576D" w:rsidP="00CB576D">
            <w:r w:rsidRPr="00CB576D">
              <w:t>Formation et évolution du sol</w:t>
            </w:r>
          </w:p>
          <w:p w:rsidR="00CB576D" w:rsidRPr="00CB576D" w:rsidRDefault="00CB576D" w:rsidP="00CB576D">
            <w:r w:rsidRPr="00CB576D">
              <w:drawing>
                <wp:inline distT="0" distB="0" distL="0" distR="0" wp14:anchorId="1B924F5D" wp14:editId="56FB71D5">
                  <wp:extent cx="4447641" cy="2150669"/>
                  <wp:effectExtent l="0" t="0" r="0" b="2540"/>
                  <wp:docPr id="2" name="Image 2" descr="Les horizons du sol - Lithosphère et Ressources énergét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Les horizons du sol - Lithosphère et Ressources énergét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661" cy="215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76D" w:rsidRPr="00CB576D" w:rsidRDefault="00CB576D" w:rsidP="00CB576D">
            <w:r w:rsidRPr="00CB576D">
              <w:t xml:space="preserve">@ </w:t>
            </w:r>
            <w:proofErr w:type="spellStart"/>
            <w:r w:rsidRPr="00CB576D">
              <w:t>lithosphere</w:t>
            </w:r>
            <w:proofErr w:type="spellEnd"/>
            <w:r w:rsidRPr="00CB576D">
              <w:t>-et-</w:t>
            </w:r>
            <w:proofErr w:type="spellStart"/>
            <w:r w:rsidRPr="00CB576D">
              <w:t>ress</w:t>
            </w:r>
            <w:proofErr w:type="spellEnd"/>
            <w:r w:rsidRPr="00CB576D">
              <w:t>-</w:t>
            </w:r>
            <w:proofErr w:type="spellStart"/>
            <w:r w:rsidRPr="00CB576D">
              <w:t>energetiques</w:t>
            </w:r>
            <w:proofErr w:type="spellEnd"/>
          </w:p>
        </w:tc>
      </w:tr>
    </w:tbl>
    <w:p w:rsidR="00CB576D" w:rsidRDefault="00CB576D"/>
    <w:tbl>
      <w:tblPr>
        <w:tblW w:w="11432" w:type="dxa"/>
        <w:tblInd w:w="-1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0"/>
        <w:gridCol w:w="7322"/>
      </w:tblGrid>
      <w:tr w:rsidR="00CB576D" w:rsidRPr="00CB576D" w:rsidTr="00502367">
        <w:trPr>
          <w:trHeight w:val="4008"/>
        </w:trPr>
        <w:tc>
          <w:tcPr>
            <w:tcW w:w="4110" w:type="dxa"/>
            <w:shd w:val="clear" w:color="auto" w:fill="auto"/>
          </w:tcPr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 xml:space="preserve">Les engrais améliorent la croissance et maintiennent la fertilité du sol, permettant ainsi de  répondre à la demande alimentaire croissante de la population. 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 xml:space="preserve">Cependant leur usage a un impact sur l’environnement. 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Par l’</w:t>
            </w:r>
            <w:r w:rsidRPr="0050236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eutrophisation</w:t>
            </w:r>
            <w:r w:rsidRPr="00502367">
              <w:rPr>
                <w:rFonts w:asciiTheme="minorHAnsi" w:hAnsiTheme="minorHAnsi" w:cstheme="minorHAnsi"/>
                <w:sz w:val="18"/>
                <w:szCs w:val="18"/>
              </w:rPr>
              <w:t xml:space="preserve">, les engrais dégradent des écosystèmes aquatiques, provoquant des marées vertes et l’asphyxie des poissons par une diminution cruciale du dioxygène dans l’eau. </w:t>
            </w:r>
          </w:p>
          <w:p w:rsidR="00CB576D" w:rsidRPr="00502367" w:rsidRDefault="00CB576D" w:rsidP="00CB576D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B576D" w:rsidRPr="00CB576D" w:rsidRDefault="00CB576D" w:rsidP="00CB576D">
            <w:r w:rsidRPr="00502367">
              <w:rPr>
                <w:rFonts w:asciiTheme="minorHAnsi" w:hAnsiTheme="minorHAnsi" w:cstheme="minorHAnsi"/>
                <w:sz w:val="18"/>
                <w:szCs w:val="18"/>
              </w:rPr>
              <w:t>Le plan de fertilisation fait par l’agriculteur permet de limiter l’usage d’intrants à son minimum et la pollution des sols</w:t>
            </w:r>
          </w:p>
        </w:tc>
        <w:tc>
          <w:tcPr>
            <w:tcW w:w="7322" w:type="dxa"/>
            <w:shd w:val="clear" w:color="auto" w:fill="auto"/>
          </w:tcPr>
          <w:p w:rsidR="00CB576D" w:rsidRPr="00CB576D" w:rsidRDefault="00CB576D" w:rsidP="00CB576D">
            <w:r w:rsidRPr="00CB576D">
              <w:drawing>
                <wp:anchor distT="0" distB="0" distL="0" distR="0" simplePos="0" relativeHeight="251659264" behindDoc="0" locked="0" layoutInCell="1" allowOverlap="1" wp14:anchorId="3FC935C3" wp14:editId="2520540E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1905</wp:posOffset>
                  </wp:positionV>
                  <wp:extent cx="4052570" cy="2337435"/>
                  <wp:effectExtent l="0" t="0" r="5080" b="5715"/>
                  <wp:wrapSquare wrapText="largest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5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22C6" w:rsidTr="00A322C6">
        <w:trPr>
          <w:trHeight w:val="4008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2C6" w:rsidRPr="00A322C6" w:rsidRDefault="00A322C6" w:rsidP="00A322C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GoBack"/>
            <w:r w:rsidRPr="00A322C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Les agrosystèmes terrestres ou aquatiques sont gérés par l’Homme afin de produire la biomasse nécessaire à l’alimentation animale et humaine ou pour ses différents besoins (textiles, </w:t>
            </w:r>
            <w:proofErr w:type="spellStart"/>
            <w:r w:rsidRPr="00A322C6">
              <w:rPr>
                <w:rFonts w:asciiTheme="minorHAnsi" w:hAnsiTheme="minorHAnsi" w:cstheme="minorHAnsi"/>
                <w:sz w:val="18"/>
                <w:szCs w:val="18"/>
              </w:rPr>
              <w:t>agrocarburants</w:t>
            </w:r>
            <w:proofErr w:type="spellEnd"/>
            <w:r w:rsidRPr="00A322C6">
              <w:rPr>
                <w:rFonts w:asciiTheme="minorHAnsi" w:hAnsiTheme="minorHAnsi" w:cstheme="minorHAnsi"/>
                <w:sz w:val="18"/>
                <w:szCs w:val="18"/>
              </w:rPr>
              <w:t>, pharmaceutiques).</w:t>
            </w:r>
          </w:p>
          <w:p w:rsidR="00A322C6" w:rsidRPr="00A322C6" w:rsidRDefault="00A322C6" w:rsidP="00A322C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322C6">
              <w:rPr>
                <w:rFonts w:asciiTheme="minorHAnsi" w:hAnsiTheme="minorHAnsi" w:cstheme="minorHAnsi"/>
                <w:sz w:val="18"/>
                <w:szCs w:val="18"/>
              </w:rPr>
              <w:t>Dans plusieurs modèles agricoles, l’exportation d’une grande partie de la biomasse produite réclame l’apport d’intrants de deux types :</w:t>
            </w:r>
          </w:p>
          <w:p w:rsidR="00A322C6" w:rsidRPr="00A322C6" w:rsidRDefault="00A322C6" w:rsidP="00A322C6">
            <w:pPr>
              <w:pStyle w:val="Paragraphedeliste"/>
              <w:numPr>
                <w:ilvl w:val="0"/>
                <w:numId w:val="1"/>
              </w:numPr>
              <w:spacing w:after="120"/>
              <w:ind w:left="425" w:hanging="357"/>
              <w:rPr>
                <w:rFonts w:asciiTheme="minorHAnsi" w:hAnsiTheme="minorHAnsi" w:cstheme="minorHAnsi"/>
                <w:sz w:val="18"/>
                <w:szCs w:val="18"/>
              </w:rPr>
            </w:pPr>
            <w:r w:rsidRPr="00A322C6">
              <w:rPr>
                <w:rFonts w:asciiTheme="minorHAnsi" w:hAnsiTheme="minorHAnsi" w:cstheme="minorHAnsi"/>
                <w:sz w:val="18"/>
                <w:szCs w:val="18"/>
              </w:rPr>
              <w:t>pour fertiliser les sols, sous forme d’engrais provenant de l’industrie chimique ou de l’élevage (fumier, lisier).</w:t>
            </w:r>
          </w:p>
          <w:p w:rsidR="00A322C6" w:rsidRPr="00A322C6" w:rsidRDefault="00A322C6" w:rsidP="00A322C6">
            <w:pPr>
              <w:pStyle w:val="Paragraphedeliste"/>
              <w:numPr>
                <w:ilvl w:val="0"/>
                <w:numId w:val="1"/>
              </w:numPr>
              <w:spacing w:before="120"/>
              <w:ind w:left="425" w:hanging="357"/>
              <w:rPr>
                <w:rFonts w:asciiTheme="minorHAnsi" w:hAnsiTheme="minorHAnsi" w:cstheme="minorHAnsi"/>
                <w:sz w:val="18"/>
                <w:szCs w:val="18"/>
              </w:rPr>
            </w:pPr>
            <w:r w:rsidRPr="00A322C6">
              <w:rPr>
                <w:rFonts w:asciiTheme="minorHAnsi" w:hAnsiTheme="minorHAnsi" w:cstheme="minorHAnsi"/>
                <w:sz w:val="18"/>
                <w:szCs w:val="18"/>
              </w:rPr>
              <w:t xml:space="preserve">pour protéger les récoltes, sous forme de produits phytosanitaires ou pesticides qui lui permettent de lutter contre les ravageurs (insectes indésirables, mauvaises herbes ou champignons) </w:t>
            </w:r>
            <w:bookmarkEnd w:id="0"/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2C6" w:rsidRDefault="00A322C6" w:rsidP="00B51C4D">
            <w:r>
              <w:object w:dxaOrig="9270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31.2pt;height:188.35pt" o:ole="">
                  <v:imagedata r:id="rId11" o:title="" croptop="5201f" cropbottom="520f"/>
                </v:shape>
                <o:OLEObject Type="Embed" ProgID="PBrush" ShapeID="_x0000_i1031" DrawAspect="Content" ObjectID="_1763219190" r:id="rId12"/>
              </w:object>
            </w:r>
          </w:p>
        </w:tc>
      </w:tr>
    </w:tbl>
    <w:p w:rsidR="00CB576D" w:rsidRDefault="00CB576D"/>
    <w:sectPr w:rsidR="00CB576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367" w:rsidRDefault="00502367" w:rsidP="00502367">
      <w:r>
        <w:separator/>
      </w:r>
    </w:p>
  </w:endnote>
  <w:endnote w:type="continuationSeparator" w:id="0">
    <w:p w:rsidR="00502367" w:rsidRDefault="00502367" w:rsidP="0050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367" w:rsidRDefault="00502367" w:rsidP="00502367">
      <w:r>
        <w:separator/>
      </w:r>
    </w:p>
  </w:footnote>
  <w:footnote w:type="continuationSeparator" w:id="0">
    <w:p w:rsidR="00502367" w:rsidRDefault="00502367" w:rsidP="005023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367" w:rsidRDefault="00502367" w:rsidP="00502367">
    <w:pPr>
      <w:pStyle w:val="En-tte"/>
      <w:tabs>
        <w:tab w:val="clear" w:pos="4536"/>
        <w:tab w:val="clear" w:pos="9072"/>
        <w:tab w:val="left" w:pos="22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52AAB"/>
    <w:multiLevelType w:val="hybridMultilevel"/>
    <w:tmpl w:val="5CB892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6D"/>
    <w:rsid w:val="00172662"/>
    <w:rsid w:val="00502367"/>
    <w:rsid w:val="00A322C6"/>
    <w:rsid w:val="00CB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76D"/>
    <w:pPr>
      <w:suppressAutoHyphens/>
      <w:spacing w:after="0" w:line="240" w:lineRule="auto"/>
    </w:pPr>
    <w:rPr>
      <w:rFonts w:ascii="Liberation Serif" w:eastAsia="Songti SC" w:hAnsi="Liberation Serif" w:cs="Arial Unicode MS"/>
      <w:kern w:val="2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576D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76D"/>
    <w:rPr>
      <w:rFonts w:ascii="Tahoma" w:eastAsia="Songti SC" w:hAnsi="Tahoma" w:cs="Mangal"/>
      <w:kern w:val="2"/>
      <w:sz w:val="16"/>
      <w:szCs w:val="1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0236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02367"/>
    <w:rPr>
      <w:rFonts w:ascii="Liberation Serif" w:eastAsia="Songti SC" w:hAnsi="Liberation Serif" w:cs="Mangal"/>
      <w:kern w:val="2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50236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02367"/>
    <w:rPr>
      <w:rFonts w:ascii="Liberation Serif" w:eastAsia="Songti SC" w:hAnsi="Liberation Serif" w:cs="Mangal"/>
      <w:kern w:val="2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A322C6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76D"/>
    <w:pPr>
      <w:suppressAutoHyphens/>
      <w:spacing w:after="0" w:line="240" w:lineRule="auto"/>
    </w:pPr>
    <w:rPr>
      <w:rFonts w:ascii="Liberation Serif" w:eastAsia="Songti SC" w:hAnsi="Liberation Serif" w:cs="Arial Unicode MS"/>
      <w:kern w:val="2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576D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76D"/>
    <w:rPr>
      <w:rFonts w:ascii="Tahoma" w:eastAsia="Songti SC" w:hAnsi="Tahoma" w:cs="Mangal"/>
      <w:kern w:val="2"/>
      <w:sz w:val="16"/>
      <w:szCs w:val="1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0236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02367"/>
    <w:rPr>
      <w:rFonts w:ascii="Liberation Serif" w:eastAsia="Songti SC" w:hAnsi="Liberation Serif" w:cs="Mangal"/>
      <w:kern w:val="2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50236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02367"/>
    <w:rPr>
      <w:rFonts w:ascii="Liberation Serif" w:eastAsia="Songti SC" w:hAnsi="Liberation Serif" w:cs="Mangal"/>
      <w:kern w:val="2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A322C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2023-12-04T17:20:00Z</dcterms:created>
  <dcterms:modified xsi:type="dcterms:W3CDTF">2023-12-04T17:20:00Z</dcterms:modified>
</cp:coreProperties>
</file>