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D4D" w:rsidRPr="009F78E8" w:rsidRDefault="00AC5D4D" w:rsidP="00AC5D4D">
      <w:pPr>
        <w:pStyle w:val="Titlu2"/>
        <w:ind w:firstLine="0"/>
      </w:pPr>
      <w:bookmarkStart w:id="0" w:name="_Toc304866935"/>
      <w:bookmarkStart w:id="1" w:name="_Toc305398938"/>
      <w:r w:rsidRPr="009F78E8">
        <w:t>Questionnaire – Module 1</w:t>
      </w:r>
      <w:bookmarkEnd w:id="0"/>
      <w:bookmarkEnd w:id="1"/>
    </w:p>
    <w:p w:rsidR="00AC5D4D" w:rsidRDefault="00AC5D4D" w:rsidP="00AC5D4D">
      <w:r w:rsidRPr="00311DBC">
        <w:t xml:space="preserve">Lisez les affirmations suivantes et cochez </w:t>
      </w:r>
      <w:r>
        <w:t>VRAI ou FAUX</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0"/>
        <w:gridCol w:w="8411"/>
        <w:gridCol w:w="643"/>
        <w:gridCol w:w="696"/>
      </w:tblGrid>
      <w:tr w:rsidR="00AC5D4D" w:rsidRPr="0010488F" w:rsidTr="001F03C1">
        <w:tc>
          <w:tcPr>
            <w:tcW w:w="510" w:type="dxa"/>
          </w:tcPr>
          <w:p w:rsidR="00AC5D4D" w:rsidRPr="0010488F" w:rsidRDefault="00AC5D4D" w:rsidP="001F03C1">
            <w:r w:rsidRPr="0010488F">
              <w:t>No</w:t>
            </w:r>
          </w:p>
        </w:tc>
        <w:tc>
          <w:tcPr>
            <w:tcW w:w="8411" w:type="dxa"/>
          </w:tcPr>
          <w:p w:rsidR="00AC5D4D" w:rsidRPr="0010488F" w:rsidRDefault="00AC5D4D" w:rsidP="001F03C1"/>
        </w:tc>
        <w:tc>
          <w:tcPr>
            <w:tcW w:w="643" w:type="dxa"/>
          </w:tcPr>
          <w:p w:rsidR="00AC5D4D" w:rsidRPr="0010488F" w:rsidRDefault="00AC5D4D" w:rsidP="001F03C1">
            <w:r w:rsidRPr="0010488F">
              <w:t>Vrai</w:t>
            </w:r>
          </w:p>
        </w:tc>
        <w:tc>
          <w:tcPr>
            <w:tcW w:w="696" w:type="dxa"/>
          </w:tcPr>
          <w:p w:rsidR="00AC5D4D" w:rsidRPr="0010488F" w:rsidRDefault="00AC5D4D" w:rsidP="001F03C1">
            <w:r w:rsidRPr="0010488F">
              <w:t>Faux</w:t>
            </w:r>
          </w:p>
        </w:tc>
      </w:tr>
      <w:tr w:rsidR="00AC5D4D" w:rsidRPr="0010488F" w:rsidTr="001F03C1">
        <w:tc>
          <w:tcPr>
            <w:tcW w:w="510" w:type="dxa"/>
          </w:tcPr>
          <w:p w:rsidR="00AC5D4D" w:rsidRPr="0010488F" w:rsidRDefault="00AC5D4D" w:rsidP="001F03C1">
            <w:r w:rsidRPr="0010488F">
              <w:t>1</w:t>
            </w:r>
          </w:p>
        </w:tc>
        <w:tc>
          <w:tcPr>
            <w:tcW w:w="8411" w:type="dxa"/>
          </w:tcPr>
          <w:p w:rsidR="00AC5D4D" w:rsidRPr="0010488F" w:rsidRDefault="00AC5D4D" w:rsidP="001F03C1">
            <w:r w:rsidRPr="0010488F">
              <w:t>Le niveau B1 correspond à un utilisateur autonome.</w:t>
            </w:r>
          </w:p>
        </w:tc>
        <w:tc>
          <w:tcPr>
            <w:tcW w:w="643" w:type="dxa"/>
          </w:tcPr>
          <w:p w:rsidR="00AC5D4D" w:rsidRPr="0010488F" w:rsidRDefault="00AC5D4D" w:rsidP="001F03C1"/>
        </w:tc>
        <w:tc>
          <w:tcPr>
            <w:tcW w:w="696" w:type="dxa"/>
          </w:tcPr>
          <w:p w:rsidR="00AC5D4D" w:rsidRPr="0010488F" w:rsidRDefault="0086787C" w:rsidP="001F03C1">
            <w:r>
              <w:t>×</w:t>
            </w:r>
          </w:p>
        </w:tc>
      </w:tr>
      <w:tr w:rsidR="00AC5D4D" w:rsidRPr="0010488F" w:rsidTr="001F03C1">
        <w:tc>
          <w:tcPr>
            <w:tcW w:w="510" w:type="dxa"/>
          </w:tcPr>
          <w:p w:rsidR="00AC5D4D" w:rsidRPr="0010488F" w:rsidRDefault="00AC5D4D" w:rsidP="001F03C1">
            <w:r w:rsidRPr="0010488F">
              <w:t>2</w:t>
            </w:r>
          </w:p>
        </w:tc>
        <w:tc>
          <w:tcPr>
            <w:tcW w:w="8411" w:type="dxa"/>
          </w:tcPr>
          <w:p w:rsidR="00AC5D4D" w:rsidRPr="0010488F" w:rsidRDefault="00AC5D4D" w:rsidP="001F03C1">
            <w:r w:rsidRPr="0010488F">
              <w:t>Le niveau C2 correspond à la compétence langagière du locuteur natif.</w:t>
            </w:r>
          </w:p>
        </w:tc>
        <w:tc>
          <w:tcPr>
            <w:tcW w:w="643" w:type="dxa"/>
          </w:tcPr>
          <w:p w:rsidR="00AC5D4D" w:rsidRPr="0010488F" w:rsidRDefault="00AC5D4D" w:rsidP="001F03C1"/>
        </w:tc>
        <w:tc>
          <w:tcPr>
            <w:tcW w:w="696" w:type="dxa"/>
          </w:tcPr>
          <w:p w:rsidR="00AC5D4D" w:rsidRPr="0010488F" w:rsidRDefault="0064595A" w:rsidP="001F03C1">
            <w:r>
              <w:t>×</w:t>
            </w:r>
          </w:p>
        </w:tc>
      </w:tr>
      <w:tr w:rsidR="00AC5D4D" w:rsidRPr="0010488F" w:rsidTr="001F03C1">
        <w:tc>
          <w:tcPr>
            <w:tcW w:w="510" w:type="dxa"/>
          </w:tcPr>
          <w:p w:rsidR="00AC5D4D" w:rsidRPr="0010488F" w:rsidRDefault="00AC5D4D" w:rsidP="001F03C1">
            <w:r w:rsidRPr="0010488F">
              <w:t>3</w:t>
            </w:r>
          </w:p>
        </w:tc>
        <w:tc>
          <w:tcPr>
            <w:tcW w:w="8411" w:type="dxa"/>
          </w:tcPr>
          <w:p w:rsidR="00AC5D4D" w:rsidRPr="0010488F" w:rsidRDefault="00AC5D4D" w:rsidP="001F03C1">
            <w:r w:rsidRPr="0010488F">
              <w:t>À l’échelle globale l’utilisateur de niveau A2 peut participer à un échange d’informations simple et direct sur des sujets familiers et habituels.</w:t>
            </w:r>
          </w:p>
        </w:tc>
        <w:tc>
          <w:tcPr>
            <w:tcW w:w="643" w:type="dxa"/>
          </w:tcPr>
          <w:p w:rsidR="00AC5D4D" w:rsidRPr="0010488F" w:rsidRDefault="00A309F2" w:rsidP="001F03C1">
            <w:r>
              <w:t>×</w:t>
            </w:r>
          </w:p>
        </w:tc>
        <w:tc>
          <w:tcPr>
            <w:tcW w:w="696" w:type="dxa"/>
          </w:tcPr>
          <w:p w:rsidR="00AC5D4D" w:rsidRPr="0010488F" w:rsidRDefault="00AC5D4D" w:rsidP="001F03C1"/>
        </w:tc>
      </w:tr>
      <w:tr w:rsidR="00AC5D4D" w:rsidRPr="0010488F" w:rsidTr="001F03C1">
        <w:tc>
          <w:tcPr>
            <w:tcW w:w="510" w:type="dxa"/>
          </w:tcPr>
          <w:p w:rsidR="00AC5D4D" w:rsidRPr="0010488F" w:rsidRDefault="00AC5D4D" w:rsidP="001F03C1">
            <w:r w:rsidRPr="0010488F">
              <w:t>4</w:t>
            </w:r>
          </w:p>
        </w:tc>
        <w:tc>
          <w:tcPr>
            <w:tcW w:w="8411" w:type="dxa"/>
          </w:tcPr>
          <w:p w:rsidR="00AC5D4D" w:rsidRPr="0010488F" w:rsidRDefault="00AC5D4D" w:rsidP="001F03C1">
            <w:r w:rsidRPr="0010488F">
              <w:t>L’utilisateur de niveau A2 dans un texte ou courrier court et rédigé en langue standard peut comprendre les informations essentielles d’ordre général traitant d’un domaine professionnel, familier ou d’une thématique connue.</w:t>
            </w:r>
          </w:p>
        </w:tc>
        <w:tc>
          <w:tcPr>
            <w:tcW w:w="643" w:type="dxa"/>
          </w:tcPr>
          <w:p w:rsidR="00AC5D4D" w:rsidRPr="0010488F" w:rsidRDefault="00AC5D4D" w:rsidP="001F03C1"/>
        </w:tc>
        <w:tc>
          <w:tcPr>
            <w:tcW w:w="696" w:type="dxa"/>
          </w:tcPr>
          <w:p w:rsidR="00AC5D4D" w:rsidRPr="0010488F" w:rsidRDefault="0064595A" w:rsidP="001F03C1">
            <w:r>
              <w:t>×</w:t>
            </w:r>
          </w:p>
        </w:tc>
      </w:tr>
      <w:tr w:rsidR="00AC5D4D" w:rsidRPr="0010488F" w:rsidTr="001F03C1">
        <w:tc>
          <w:tcPr>
            <w:tcW w:w="510" w:type="dxa"/>
          </w:tcPr>
          <w:p w:rsidR="00AC5D4D" w:rsidRPr="0010488F" w:rsidRDefault="00AC5D4D" w:rsidP="001F03C1">
            <w:r w:rsidRPr="0010488F">
              <w:t>5</w:t>
            </w:r>
          </w:p>
        </w:tc>
        <w:tc>
          <w:tcPr>
            <w:tcW w:w="8411" w:type="dxa"/>
          </w:tcPr>
          <w:p w:rsidR="00AC5D4D" w:rsidRPr="0010488F" w:rsidRDefault="00AC5D4D" w:rsidP="001F03C1">
            <w:r w:rsidRPr="0010488F">
              <w:t>L’utilisateur de niveau B1 peut rédiger sans difficulté une lettre personnelle</w:t>
            </w:r>
            <w:r>
              <w:t xml:space="preserve"> </w:t>
            </w:r>
            <w:r w:rsidRPr="0010488F">
              <w:t>ou un texte simple et cohérent sur des thèmes familiers, en s’assurant que les erreurs de langue ne sont pas très nombreuses pour en gêner la lecture.</w:t>
            </w:r>
          </w:p>
        </w:tc>
        <w:tc>
          <w:tcPr>
            <w:tcW w:w="643" w:type="dxa"/>
          </w:tcPr>
          <w:p w:rsidR="00AC5D4D" w:rsidRPr="0010488F" w:rsidRDefault="0086787C" w:rsidP="001F03C1">
            <w:r>
              <w:t>×</w:t>
            </w:r>
          </w:p>
        </w:tc>
        <w:tc>
          <w:tcPr>
            <w:tcW w:w="696" w:type="dxa"/>
          </w:tcPr>
          <w:p w:rsidR="00AC5D4D" w:rsidRPr="0010488F" w:rsidRDefault="00AC5D4D" w:rsidP="001F03C1"/>
        </w:tc>
      </w:tr>
      <w:tr w:rsidR="00AC5D4D" w:rsidRPr="0010488F" w:rsidTr="001F03C1">
        <w:tc>
          <w:tcPr>
            <w:tcW w:w="510" w:type="dxa"/>
          </w:tcPr>
          <w:p w:rsidR="00AC5D4D" w:rsidRPr="0010488F" w:rsidRDefault="00AC5D4D" w:rsidP="001F03C1">
            <w:r w:rsidRPr="0010488F">
              <w:t>6</w:t>
            </w:r>
          </w:p>
        </w:tc>
        <w:tc>
          <w:tcPr>
            <w:tcW w:w="8411" w:type="dxa"/>
          </w:tcPr>
          <w:p w:rsidR="00AC5D4D" w:rsidRPr="0010488F" w:rsidRDefault="00AC5D4D" w:rsidP="001F03C1">
            <w:pPr>
              <w:rPr>
                <w:rFonts w:ascii="Mangal" w:hAnsi="Mangal" w:cs="Mangal"/>
              </w:rPr>
            </w:pPr>
            <w:r w:rsidRPr="0010488F">
              <w:t xml:space="preserve">L’utilisateur de niveau B2 peut s’exprimer de façon claire et détaillée sur une grande gamme de sujets relatifs à ses centres d’intérêt, peut développer un point de vue sur un sujet d’actualité. </w:t>
            </w:r>
          </w:p>
        </w:tc>
        <w:tc>
          <w:tcPr>
            <w:tcW w:w="643" w:type="dxa"/>
          </w:tcPr>
          <w:p w:rsidR="00AC5D4D" w:rsidRPr="0010488F" w:rsidRDefault="00634FAF" w:rsidP="001F03C1">
            <w:r>
              <w:t>×</w:t>
            </w:r>
          </w:p>
        </w:tc>
        <w:tc>
          <w:tcPr>
            <w:tcW w:w="696" w:type="dxa"/>
          </w:tcPr>
          <w:p w:rsidR="00AC5D4D" w:rsidRPr="0010488F" w:rsidRDefault="00AC5D4D" w:rsidP="001F03C1"/>
        </w:tc>
      </w:tr>
      <w:tr w:rsidR="00AC5D4D" w:rsidRPr="0010488F" w:rsidTr="001F03C1">
        <w:tc>
          <w:tcPr>
            <w:tcW w:w="510" w:type="dxa"/>
          </w:tcPr>
          <w:p w:rsidR="00AC5D4D" w:rsidRPr="0010488F" w:rsidRDefault="00AC5D4D" w:rsidP="001F03C1">
            <w:r w:rsidRPr="0010488F">
              <w:t>7</w:t>
            </w:r>
          </w:p>
        </w:tc>
        <w:tc>
          <w:tcPr>
            <w:tcW w:w="8411" w:type="dxa"/>
          </w:tcPr>
          <w:p w:rsidR="00AC5D4D" w:rsidRPr="0010488F" w:rsidRDefault="00AC5D4D" w:rsidP="001F03C1">
            <w:r w:rsidRPr="0010488F">
              <w:t>Pour obtenir une certification internationale il y a une progression obligatoire d’un niveau à l’autre.</w:t>
            </w:r>
          </w:p>
        </w:tc>
        <w:tc>
          <w:tcPr>
            <w:tcW w:w="643" w:type="dxa"/>
          </w:tcPr>
          <w:p w:rsidR="00AC5D4D" w:rsidRPr="0010488F" w:rsidRDefault="00AC5D4D" w:rsidP="001F03C1"/>
        </w:tc>
        <w:tc>
          <w:tcPr>
            <w:tcW w:w="696" w:type="dxa"/>
          </w:tcPr>
          <w:p w:rsidR="00AC5D4D" w:rsidRPr="0010488F" w:rsidRDefault="0064595A" w:rsidP="001F03C1">
            <w:r>
              <w:t>×</w:t>
            </w:r>
          </w:p>
        </w:tc>
      </w:tr>
      <w:tr w:rsidR="00AC5D4D" w:rsidRPr="0010488F" w:rsidTr="001F03C1">
        <w:tc>
          <w:tcPr>
            <w:tcW w:w="510" w:type="dxa"/>
          </w:tcPr>
          <w:p w:rsidR="00AC5D4D" w:rsidRPr="0010488F" w:rsidRDefault="00AC5D4D" w:rsidP="001F03C1">
            <w:r w:rsidRPr="0010488F">
              <w:t>8</w:t>
            </w:r>
          </w:p>
        </w:tc>
        <w:tc>
          <w:tcPr>
            <w:tcW w:w="8411" w:type="dxa"/>
          </w:tcPr>
          <w:p w:rsidR="00AC5D4D" w:rsidRPr="0010488F" w:rsidRDefault="00AC5D4D" w:rsidP="001F03C1">
            <w:r w:rsidRPr="0010488F">
              <w:t>La certification TCF est valable toute la vie.</w:t>
            </w:r>
          </w:p>
        </w:tc>
        <w:tc>
          <w:tcPr>
            <w:tcW w:w="643" w:type="dxa"/>
          </w:tcPr>
          <w:p w:rsidR="00AC5D4D" w:rsidRPr="0010488F" w:rsidRDefault="00AC5D4D" w:rsidP="001F03C1"/>
        </w:tc>
        <w:tc>
          <w:tcPr>
            <w:tcW w:w="696" w:type="dxa"/>
          </w:tcPr>
          <w:p w:rsidR="00AC5D4D" w:rsidRPr="0010488F" w:rsidRDefault="0064595A" w:rsidP="001F03C1">
            <w:r>
              <w:t>×</w:t>
            </w:r>
          </w:p>
        </w:tc>
      </w:tr>
      <w:tr w:rsidR="00AC5D4D" w:rsidRPr="0010488F" w:rsidTr="001F03C1">
        <w:tc>
          <w:tcPr>
            <w:tcW w:w="510" w:type="dxa"/>
          </w:tcPr>
          <w:p w:rsidR="00AC5D4D" w:rsidRPr="0010488F" w:rsidRDefault="00AC5D4D" w:rsidP="001F03C1">
            <w:r w:rsidRPr="0010488F">
              <w:t>9</w:t>
            </w:r>
          </w:p>
        </w:tc>
        <w:tc>
          <w:tcPr>
            <w:tcW w:w="8411" w:type="dxa"/>
          </w:tcPr>
          <w:p w:rsidR="00AC5D4D" w:rsidRPr="0010488F" w:rsidRDefault="00AC5D4D" w:rsidP="001F03C1">
            <w:r w:rsidRPr="0010488F">
              <w:t>En Roumanie, par les documents officiels du Ministère de l’Éducation, on reconnaît</w:t>
            </w:r>
            <w:r>
              <w:t xml:space="preserve"> </w:t>
            </w:r>
            <w:r w:rsidRPr="0010488F">
              <w:t>les résultats obtenus par les élèves aux examens de certification internationale pour une langue étrangère.</w:t>
            </w:r>
          </w:p>
        </w:tc>
        <w:tc>
          <w:tcPr>
            <w:tcW w:w="643" w:type="dxa"/>
          </w:tcPr>
          <w:p w:rsidR="00AC5D4D" w:rsidRPr="0010488F" w:rsidRDefault="0086787C" w:rsidP="001F03C1">
            <w:r>
              <w:t>×</w:t>
            </w:r>
          </w:p>
        </w:tc>
        <w:tc>
          <w:tcPr>
            <w:tcW w:w="696" w:type="dxa"/>
          </w:tcPr>
          <w:p w:rsidR="00AC5D4D" w:rsidRPr="0010488F" w:rsidRDefault="00AC5D4D" w:rsidP="001F03C1"/>
        </w:tc>
      </w:tr>
      <w:tr w:rsidR="00AC5D4D" w:rsidRPr="0010488F" w:rsidTr="001F03C1">
        <w:tc>
          <w:tcPr>
            <w:tcW w:w="510" w:type="dxa"/>
          </w:tcPr>
          <w:p w:rsidR="00AC5D4D" w:rsidRPr="0010488F" w:rsidRDefault="00AC5D4D" w:rsidP="001F03C1">
            <w:r w:rsidRPr="0010488F">
              <w:t>10</w:t>
            </w:r>
          </w:p>
        </w:tc>
        <w:tc>
          <w:tcPr>
            <w:tcW w:w="8411" w:type="dxa"/>
          </w:tcPr>
          <w:p w:rsidR="00AC5D4D" w:rsidRPr="0010488F" w:rsidRDefault="00AC5D4D" w:rsidP="001F03C1">
            <w:r w:rsidRPr="0010488F">
              <w:t>Les compétences générales sont plutôt des savoirs (savoir, savoir- être, savoir- faire, savoir-</w:t>
            </w:r>
            <w:r>
              <w:t xml:space="preserve"> </w:t>
            </w:r>
            <w:r w:rsidRPr="0010488F">
              <w:t>apprendre).</w:t>
            </w:r>
          </w:p>
        </w:tc>
        <w:tc>
          <w:tcPr>
            <w:tcW w:w="643" w:type="dxa"/>
          </w:tcPr>
          <w:p w:rsidR="00AC5D4D" w:rsidRPr="0010488F" w:rsidRDefault="0086787C" w:rsidP="001F03C1">
            <w:r>
              <w:t>×</w:t>
            </w:r>
          </w:p>
        </w:tc>
        <w:tc>
          <w:tcPr>
            <w:tcW w:w="696" w:type="dxa"/>
          </w:tcPr>
          <w:p w:rsidR="00AC5D4D" w:rsidRPr="0010488F" w:rsidRDefault="00AC5D4D" w:rsidP="001F03C1"/>
        </w:tc>
      </w:tr>
      <w:tr w:rsidR="00AC5D4D" w:rsidRPr="0010488F" w:rsidTr="001F03C1">
        <w:tc>
          <w:tcPr>
            <w:tcW w:w="510" w:type="dxa"/>
          </w:tcPr>
          <w:p w:rsidR="00AC5D4D" w:rsidRPr="0010488F" w:rsidRDefault="00AC5D4D" w:rsidP="001F03C1">
            <w:r w:rsidRPr="0010488F">
              <w:t>11</w:t>
            </w:r>
          </w:p>
        </w:tc>
        <w:tc>
          <w:tcPr>
            <w:tcW w:w="8411" w:type="dxa"/>
          </w:tcPr>
          <w:p w:rsidR="00AC5D4D" w:rsidRPr="0010488F" w:rsidRDefault="00AC5D4D" w:rsidP="001F03C1">
            <w:r w:rsidRPr="0010488F">
              <w:t>Peut-on parler d’une superposition ou juxtaposition de compétences distinctes ?</w:t>
            </w:r>
          </w:p>
        </w:tc>
        <w:tc>
          <w:tcPr>
            <w:tcW w:w="643" w:type="dxa"/>
          </w:tcPr>
          <w:p w:rsidR="00AC5D4D" w:rsidRPr="0010488F" w:rsidRDefault="00AC5D4D" w:rsidP="001F03C1"/>
        </w:tc>
        <w:tc>
          <w:tcPr>
            <w:tcW w:w="696" w:type="dxa"/>
          </w:tcPr>
          <w:p w:rsidR="00AC5D4D" w:rsidRPr="0010488F" w:rsidRDefault="0064595A" w:rsidP="001F03C1">
            <w:r>
              <w:t>×</w:t>
            </w:r>
          </w:p>
        </w:tc>
      </w:tr>
      <w:tr w:rsidR="00AC5D4D" w:rsidRPr="0010488F" w:rsidTr="001F03C1">
        <w:tc>
          <w:tcPr>
            <w:tcW w:w="510" w:type="dxa"/>
          </w:tcPr>
          <w:p w:rsidR="00AC5D4D" w:rsidRPr="0010488F" w:rsidRDefault="00AC5D4D" w:rsidP="001F03C1">
            <w:r w:rsidRPr="0010488F">
              <w:t>12</w:t>
            </w:r>
          </w:p>
        </w:tc>
        <w:tc>
          <w:tcPr>
            <w:tcW w:w="8411" w:type="dxa"/>
          </w:tcPr>
          <w:p w:rsidR="00AC5D4D" w:rsidRPr="0010488F" w:rsidRDefault="00AC5D4D" w:rsidP="001F03C1">
            <w:r w:rsidRPr="0010488F">
              <w:t xml:space="preserve">Dans la pédagogie moderne, on parle de la centration sur l’apprenant. </w:t>
            </w:r>
          </w:p>
        </w:tc>
        <w:tc>
          <w:tcPr>
            <w:tcW w:w="643" w:type="dxa"/>
          </w:tcPr>
          <w:p w:rsidR="00AC5D4D" w:rsidRPr="0010488F" w:rsidRDefault="0086787C" w:rsidP="001F03C1">
            <w:r>
              <w:t>×</w:t>
            </w:r>
          </w:p>
        </w:tc>
        <w:tc>
          <w:tcPr>
            <w:tcW w:w="696" w:type="dxa"/>
          </w:tcPr>
          <w:p w:rsidR="00AC5D4D" w:rsidRPr="0010488F" w:rsidRDefault="00AC5D4D" w:rsidP="001F03C1"/>
        </w:tc>
      </w:tr>
      <w:tr w:rsidR="00AC5D4D" w:rsidRPr="0010488F" w:rsidTr="001F03C1">
        <w:tc>
          <w:tcPr>
            <w:tcW w:w="510" w:type="dxa"/>
          </w:tcPr>
          <w:p w:rsidR="00AC5D4D" w:rsidRPr="0010488F" w:rsidRDefault="00AC5D4D" w:rsidP="001F03C1">
            <w:r w:rsidRPr="0010488F">
              <w:t>13</w:t>
            </w:r>
          </w:p>
        </w:tc>
        <w:tc>
          <w:tcPr>
            <w:tcW w:w="8411" w:type="dxa"/>
          </w:tcPr>
          <w:p w:rsidR="00AC5D4D" w:rsidRPr="0010488F" w:rsidRDefault="00AC5D4D" w:rsidP="001F03C1">
            <w:r w:rsidRPr="0010488F">
              <w:t>La « pédagogie traditionnelle » est centrée sur les contenus.</w:t>
            </w:r>
          </w:p>
        </w:tc>
        <w:tc>
          <w:tcPr>
            <w:tcW w:w="643" w:type="dxa"/>
          </w:tcPr>
          <w:p w:rsidR="00AC5D4D" w:rsidRPr="0010488F" w:rsidRDefault="0086787C" w:rsidP="001F03C1">
            <w:r>
              <w:t>×</w:t>
            </w:r>
          </w:p>
        </w:tc>
        <w:tc>
          <w:tcPr>
            <w:tcW w:w="696" w:type="dxa"/>
          </w:tcPr>
          <w:p w:rsidR="00AC5D4D" w:rsidRPr="0010488F" w:rsidRDefault="00AC5D4D" w:rsidP="001F03C1"/>
        </w:tc>
      </w:tr>
      <w:tr w:rsidR="00AC5D4D" w:rsidRPr="0010488F" w:rsidTr="001F03C1">
        <w:tc>
          <w:tcPr>
            <w:tcW w:w="510" w:type="dxa"/>
          </w:tcPr>
          <w:p w:rsidR="00AC5D4D" w:rsidRPr="0010488F" w:rsidRDefault="00AC5D4D" w:rsidP="001F03C1">
            <w:r w:rsidRPr="0010488F">
              <w:t>14</w:t>
            </w:r>
          </w:p>
        </w:tc>
        <w:tc>
          <w:tcPr>
            <w:tcW w:w="8411" w:type="dxa"/>
          </w:tcPr>
          <w:p w:rsidR="00AC5D4D" w:rsidRPr="0010488F" w:rsidRDefault="00AC5D4D" w:rsidP="001F03C1">
            <w:r w:rsidRPr="0010488F">
              <w:t>Dans la pédagogie de l’apprentissage, de l’autonomisation de l’apprenant, peut-on dire que l’enseignant a disparu de la situation pédagogique ?</w:t>
            </w:r>
          </w:p>
        </w:tc>
        <w:tc>
          <w:tcPr>
            <w:tcW w:w="643" w:type="dxa"/>
          </w:tcPr>
          <w:p w:rsidR="00AC5D4D" w:rsidRPr="0010488F" w:rsidRDefault="00AC5D4D" w:rsidP="001F03C1"/>
        </w:tc>
        <w:tc>
          <w:tcPr>
            <w:tcW w:w="696" w:type="dxa"/>
          </w:tcPr>
          <w:p w:rsidR="00AC5D4D" w:rsidRPr="0010488F" w:rsidRDefault="0086787C" w:rsidP="001F03C1">
            <w:r>
              <w:t>×</w:t>
            </w:r>
          </w:p>
        </w:tc>
      </w:tr>
      <w:tr w:rsidR="00AC5D4D" w:rsidRPr="0010488F" w:rsidTr="001F03C1">
        <w:tc>
          <w:tcPr>
            <w:tcW w:w="510" w:type="dxa"/>
          </w:tcPr>
          <w:p w:rsidR="00AC5D4D" w:rsidRPr="0010488F" w:rsidRDefault="00AC5D4D" w:rsidP="001F03C1">
            <w:r w:rsidRPr="0010488F">
              <w:t>15</w:t>
            </w:r>
          </w:p>
        </w:tc>
        <w:tc>
          <w:tcPr>
            <w:tcW w:w="8411" w:type="dxa"/>
          </w:tcPr>
          <w:p w:rsidR="00AC5D4D" w:rsidRPr="0010488F" w:rsidRDefault="00AC5D4D" w:rsidP="001F03C1">
            <w:r w:rsidRPr="0010488F">
              <w:t>Les résultats de l’évaluation doivent amener l’enseignant à prendre une décision et établir un plan d’action (stratégies, activités).</w:t>
            </w:r>
          </w:p>
        </w:tc>
        <w:tc>
          <w:tcPr>
            <w:tcW w:w="643" w:type="dxa"/>
          </w:tcPr>
          <w:p w:rsidR="00AC5D4D" w:rsidRPr="0010488F" w:rsidRDefault="0086787C" w:rsidP="001F03C1">
            <w:r>
              <w:t>×</w:t>
            </w:r>
          </w:p>
        </w:tc>
        <w:tc>
          <w:tcPr>
            <w:tcW w:w="696" w:type="dxa"/>
          </w:tcPr>
          <w:p w:rsidR="00AC5D4D" w:rsidRPr="0010488F" w:rsidRDefault="00AC5D4D" w:rsidP="001F03C1"/>
        </w:tc>
      </w:tr>
    </w:tbl>
    <w:p w:rsidR="00FA5993" w:rsidRDefault="00FA5993"/>
    <w:sectPr w:rsidR="00FA5993" w:rsidSect="009251A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C5D4D"/>
    <w:rsid w:val="001B7FD6"/>
    <w:rsid w:val="001F03C1"/>
    <w:rsid w:val="004876D4"/>
    <w:rsid w:val="00592D86"/>
    <w:rsid w:val="00634FAF"/>
    <w:rsid w:val="00643DBB"/>
    <w:rsid w:val="0064595A"/>
    <w:rsid w:val="00671CBD"/>
    <w:rsid w:val="0086787C"/>
    <w:rsid w:val="009251A8"/>
    <w:rsid w:val="009E5BBF"/>
    <w:rsid w:val="00A309F2"/>
    <w:rsid w:val="00AC5D4D"/>
    <w:rsid w:val="00AC7575"/>
    <w:rsid w:val="00FA5993"/>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D4D"/>
    <w:rPr>
      <w:sz w:val="24"/>
      <w:szCs w:val="22"/>
      <w:lang w:val="fr-FR" w:eastAsia="en-US"/>
    </w:rPr>
  </w:style>
  <w:style w:type="paragraph" w:styleId="Titlu2">
    <w:name w:val="heading 2"/>
    <w:basedOn w:val="Normal"/>
    <w:next w:val="Normal"/>
    <w:link w:val="Titlu2Caracter"/>
    <w:qFormat/>
    <w:rsid w:val="00AC5D4D"/>
    <w:pPr>
      <w:keepNext/>
      <w:keepLines/>
      <w:spacing w:before="120" w:after="120"/>
      <w:ind w:firstLine="284"/>
      <w:outlineLvl w:val="1"/>
    </w:pPr>
    <w:rPr>
      <w:rFonts w:ascii="Arial" w:hAnsi="Arial"/>
      <w:b/>
      <w:bCs/>
      <w:sz w:val="26"/>
      <w:szCs w:val="26"/>
      <w:lang/>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link w:val="Titlu2"/>
    <w:rsid w:val="00AC5D4D"/>
    <w:rPr>
      <w:rFonts w:ascii="Arial" w:hAnsi="Arial"/>
      <w:b/>
      <w:bCs/>
      <w:sz w:val="26"/>
      <w:szCs w:val="26"/>
      <w:lang w:val="fr-F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301</Words>
  <Characters>1751</Characters>
  <Application>Microsoft Office Word</Application>
  <DocSecurity>0</DocSecurity>
  <Lines>14</Lines>
  <Paragraphs>4</Paragraphs>
  <ScaleCrop>false</ScaleCrop>
  <HeadingPairs>
    <vt:vector size="6" baseType="variant">
      <vt:variant>
        <vt:lpstr>Titlu</vt:lpstr>
      </vt:variant>
      <vt:variant>
        <vt:i4>1</vt:i4>
      </vt:variant>
      <vt:variant>
        <vt:lpstr>Title</vt:lpstr>
      </vt:variant>
      <vt:variant>
        <vt:i4>1</vt:i4>
      </vt:variant>
      <vt:variant>
        <vt:lpstr>Headings</vt:lpstr>
      </vt:variant>
      <vt:variant>
        <vt:i4>1</vt:i4>
      </vt:variant>
    </vt:vector>
  </HeadingPairs>
  <TitlesOfParts>
    <vt:vector size="3" baseType="lpstr">
      <vt:lpstr/>
      <vt:lpstr/>
      <vt:lpstr>    Questionnaire – Module 1</vt:lpstr>
    </vt:vector>
  </TitlesOfParts>
  <Company>Unitate Scolara</Company>
  <LinksUpToDate>false</LinksUpToDate>
  <CharactersWithSpaces>2048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2012-03-31T09:21:00Z</dcterms:created>
  <dcterms:modified xsi:type="dcterms:W3CDTF">2012-03-31T09:21:00Z</dcterms:modified>
</cp:coreProperties>
</file>