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Rule="auto"/>
        <w:jc w:val="center"/>
        <w:rPr/>
      </w:pPr>
      <w:bookmarkStart w:colFirst="0" w:colLast="0" w:name="_pm0oesd1njfg" w:id="0"/>
      <w:bookmarkEnd w:id="0"/>
      <w:r w:rsidDel="00000000" w:rsidR="00000000" w:rsidRPr="00000000">
        <w:rPr>
          <w:rtl w:val="0"/>
        </w:rPr>
        <w:t xml:space="preserve">Mission 3 généralisation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En vous inspirant de votre étude de cas et du jeu LGV, choisissez les phrases pertinentes (supprimez les phrases fausses) et organisez les dans le tableau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transports sont importants pour le développement et les mobilités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L’offre de transport est inégale entre les territoires français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 territoire français est totalement desservi par les lignes à grande vitesse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Certaines régions sont mal desservies par les transports à grande vitesse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lignes à grande vitesse sont une chance pour les métropoles et pour les villes alentours.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lignes à grande vitesse sont une chance pour les petites villes.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Certaines régions sont en perte d’activité et d’emplois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LGV bénéficient d’un financement de l’Union Européenne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LGV bénéficient d’un financement de l’Etat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LGV bénéficient d’un financement des collectivités territoriales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LGV bénéficient d’un financement par les entreprises privées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LGV sont exploitées par l’Etat (SNCF)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LGV sont exploitées par l’Etat par des entreprises privées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LGV permettent d’attirer les entreprises et créer de l’emploi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LGV permettent de dynamiser l’économie locale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LGV ont pour conséquence de diminuer le prix des logements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LGV ont pour conséquence d’augmenter le prix des logements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LGV ont aussi pour but de désengorger la région parisienne.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LGV ont pour but d’améliorer l’intégration de certains territoires à l’Union Européenne.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trains à grande vitesse sont un moyen de transport plus respectueux de l’environnement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Les trains à grande vitesse sont un moyen de transport polluant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42.5525040387724"/>
        <w:gridCol w:w="6287.447495961228"/>
        <w:tblGridChange w:id="0">
          <w:tblGrid>
            <w:gridCol w:w="2742.5525040387724"/>
            <w:gridCol w:w="6287.447495961228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thème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Constat du besoin de LGV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Objectifs des LGV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Acteurs et financement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Conséquences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Facultatif : Ensuite sers-toi de ces phrases pour rédiger un texte argumentatif qui réponde au sujet : les lignes à grande vitesse, un outil pour l’aménagement du territoire.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(Il faudra rajouter des mots de liaison, supprimer des bouts de phrases pour rendre le texte plus lisible, poser la problématique à la fin de l’introduction et faire une conclusion.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