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16" w:rsidRPr="00724816" w:rsidRDefault="00724816" w:rsidP="00724816">
      <w:pPr>
        <w:rPr>
          <w:rFonts w:ascii="Verdana" w:hAnsi="Verdana"/>
          <w:color w:val="FF0000"/>
          <w:sz w:val="24"/>
          <w:szCs w:val="24"/>
        </w:rPr>
      </w:pPr>
      <w:r w:rsidRPr="00724816">
        <w:rPr>
          <w:rFonts w:ascii="Verdana" w:hAnsi="Verdana"/>
          <w:color w:val="FF0000"/>
          <w:sz w:val="24"/>
          <w:szCs w:val="24"/>
        </w:rPr>
        <w:t xml:space="preserve">3- </w:t>
      </w:r>
      <w:proofErr w:type="gramStart"/>
      <w:r w:rsidRPr="00724816">
        <w:rPr>
          <w:rFonts w:ascii="Verdana" w:hAnsi="Verdana"/>
          <w:color w:val="FF0000"/>
          <w:sz w:val="24"/>
          <w:szCs w:val="24"/>
        </w:rPr>
        <w:t>L</w:t>
      </w:r>
      <w:r w:rsidRPr="00724816">
        <w:rPr>
          <w:rFonts w:ascii="Verdana" w:hAnsi="Verdana"/>
          <w:bCs/>
          <w:color w:val="FF0000"/>
          <w:sz w:val="24"/>
          <w:szCs w:val="24"/>
        </w:rPr>
        <w:t>’urbanisatio</w:t>
      </w:r>
      <w:r w:rsidRPr="00724816">
        <w:rPr>
          <w:rFonts w:ascii="Verdana" w:hAnsi="Verdana"/>
          <w:color w:val="FF0000"/>
          <w:sz w:val="24"/>
          <w:szCs w:val="24"/>
        </w:rPr>
        <w:t>n ,</w:t>
      </w:r>
      <w:proofErr w:type="gramEnd"/>
      <w:r w:rsidRPr="00724816">
        <w:rPr>
          <w:rFonts w:ascii="Verdana" w:hAnsi="Verdana"/>
          <w:color w:val="FF0000"/>
          <w:sz w:val="24"/>
          <w:szCs w:val="24"/>
        </w:rPr>
        <w:t xml:space="preserve"> un phénomène mondial.</w:t>
      </w:r>
    </w:p>
    <w:p w:rsidR="00724816" w:rsidRPr="00724816" w:rsidRDefault="00724816" w:rsidP="00724816">
      <w:pPr>
        <w:rPr>
          <w:rFonts w:ascii="Verdana" w:hAnsi="Verdana"/>
          <w:sz w:val="24"/>
          <w:szCs w:val="24"/>
        </w:rPr>
      </w:pPr>
      <w:r w:rsidRPr="00724816">
        <w:rPr>
          <w:rFonts w:ascii="Verdana" w:hAnsi="Verdana"/>
          <w:sz w:val="24"/>
          <w:szCs w:val="24"/>
        </w:rPr>
        <w:t xml:space="preserve"> </w:t>
      </w:r>
      <w:proofErr w:type="gramStart"/>
      <w:r w:rsidRPr="00724816">
        <w:rPr>
          <w:rFonts w:ascii="Verdana" w:hAnsi="Verdana"/>
          <w:sz w:val="24"/>
          <w:szCs w:val="24"/>
        </w:rPr>
        <w:t>carte</w:t>
      </w:r>
      <w:proofErr w:type="gramEnd"/>
      <w:r w:rsidRPr="00724816">
        <w:rPr>
          <w:rFonts w:ascii="Verdana" w:hAnsi="Verdana"/>
          <w:sz w:val="24"/>
          <w:szCs w:val="24"/>
        </w:rPr>
        <w:t xml:space="preserve"> p. 199 </w:t>
      </w:r>
    </w:p>
    <w:p w:rsidR="00724816" w:rsidRPr="00724816" w:rsidRDefault="00724816" w:rsidP="00724816">
      <w:pPr>
        <w:rPr>
          <w:rFonts w:ascii="Verdana" w:hAnsi="Verdana"/>
          <w:color w:val="FF0000"/>
          <w:sz w:val="24"/>
          <w:szCs w:val="24"/>
        </w:rPr>
      </w:pPr>
      <w:r w:rsidRPr="00724816">
        <w:rPr>
          <w:rFonts w:ascii="Verdana" w:hAnsi="Verdana"/>
          <w:color w:val="FF0000"/>
          <w:sz w:val="24"/>
          <w:szCs w:val="24"/>
        </w:rPr>
        <w:t>A- L’essor des villes.</w:t>
      </w:r>
    </w:p>
    <w:p w:rsidR="00724816" w:rsidRPr="00724816" w:rsidRDefault="00724816" w:rsidP="00724816">
      <w:pPr>
        <w:rPr>
          <w:rFonts w:ascii="Verdana" w:hAnsi="Verdana"/>
          <w:sz w:val="24"/>
          <w:szCs w:val="24"/>
        </w:rPr>
      </w:pPr>
      <w:r w:rsidRPr="00724816">
        <w:rPr>
          <w:rFonts w:ascii="Verdana" w:hAnsi="Verdana"/>
          <w:sz w:val="24"/>
          <w:szCs w:val="24"/>
        </w:rPr>
        <w:t>Le monde s’</w:t>
      </w:r>
      <w:r w:rsidRPr="00724816">
        <w:rPr>
          <w:rFonts w:ascii="Verdana" w:hAnsi="Verdana"/>
          <w:b/>
          <w:bCs/>
          <w:sz w:val="24"/>
          <w:szCs w:val="24"/>
        </w:rPr>
        <w:t>urbanise</w:t>
      </w:r>
      <w:r w:rsidRPr="00724816">
        <w:rPr>
          <w:rFonts w:ascii="Verdana" w:hAnsi="Verdana"/>
          <w:sz w:val="24"/>
          <w:szCs w:val="24"/>
        </w:rPr>
        <w:t xml:space="preserve"> très vite. Aujourd’hui, 55% de la pop</w:t>
      </w:r>
      <w:r>
        <w:rPr>
          <w:rFonts w:ascii="Verdana" w:hAnsi="Verdana"/>
          <w:sz w:val="24"/>
          <w:szCs w:val="24"/>
        </w:rPr>
        <w:t>ulation</w:t>
      </w:r>
      <w:r w:rsidRPr="00724816">
        <w:rPr>
          <w:rFonts w:ascii="Verdana" w:hAnsi="Verdana"/>
          <w:sz w:val="24"/>
          <w:szCs w:val="24"/>
        </w:rPr>
        <w:t xml:space="preserve"> mondiale vit en ville. Contre 30% en 1950 et 10% en 1900. On estime qu’en 2050, 2/3 des humains vivront en ville.</w:t>
      </w:r>
    </w:p>
    <w:p w:rsidR="00724816" w:rsidRPr="00724816" w:rsidRDefault="00724816" w:rsidP="00724816">
      <w:pPr>
        <w:rPr>
          <w:rFonts w:ascii="Verdana" w:hAnsi="Verdana"/>
          <w:sz w:val="24"/>
          <w:szCs w:val="24"/>
        </w:rPr>
      </w:pPr>
      <w:r w:rsidRPr="00724816">
        <w:rPr>
          <w:rFonts w:ascii="Verdana" w:hAnsi="Verdana"/>
          <w:sz w:val="24"/>
          <w:szCs w:val="24"/>
        </w:rPr>
        <w:t>Les taux d’urbanisation varient selon les continents (52% en Afr</w:t>
      </w:r>
      <w:r>
        <w:rPr>
          <w:rFonts w:ascii="Verdana" w:hAnsi="Verdana"/>
          <w:sz w:val="24"/>
          <w:szCs w:val="24"/>
        </w:rPr>
        <w:t>ique</w:t>
      </w:r>
      <w:r w:rsidRPr="00724816">
        <w:rPr>
          <w:rFonts w:ascii="Verdana" w:hAnsi="Verdana"/>
          <w:sz w:val="24"/>
          <w:szCs w:val="24"/>
        </w:rPr>
        <w:t xml:space="preserve"> et en Asie; 75 à 85 en Amérique et Océanie)</w:t>
      </w:r>
    </w:p>
    <w:p w:rsidR="00724816" w:rsidRPr="00724816" w:rsidRDefault="00724816" w:rsidP="00724816">
      <w:pPr>
        <w:rPr>
          <w:rFonts w:ascii="Verdana" w:hAnsi="Verdana"/>
          <w:sz w:val="24"/>
          <w:szCs w:val="24"/>
        </w:rPr>
      </w:pPr>
      <w:r w:rsidRPr="00724816">
        <w:rPr>
          <w:rFonts w:ascii="Verdana" w:hAnsi="Verdana"/>
          <w:b/>
          <w:bCs/>
          <w:sz w:val="24"/>
          <w:szCs w:val="24"/>
        </w:rPr>
        <w:t xml:space="preserve">La croissance urbaine </w:t>
      </w:r>
      <w:r w:rsidRPr="00724816">
        <w:rPr>
          <w:rFonts w:ascii="Verdana" w:hAnsi="Verdana"/>
          <w:sz w:val="24"/>
          <w:szCs w:val="24"/>
        </w:rPr>
        <w:t xml:space="preserve">est surtout très forte dans les </w:t>
      </w:r>
      <w:r w:rsidRPr="00724816">
        <w:rPr>
          <w:rFonts w:ascii="Verdana" w:hAnsi="Verdana"/>
          <w:b/>
          <w:bCs/>
          <w:sz w:val="24"/>
          <w:szCs w:val="24"/>
        </w:rPr>
        <w:t>PED</w:t>
      </w:r>
      <w:r>
        <w:rPr>
          <w:rFonts w:ascii="Verdana" w:hAnsi="Verdana"/>
          <w:b/>
          <w:bCs/>
          <w:sz w:val="24"/>
          <w:szCs w:val="24"/>
        </w:rPr>
        <w:t xml:space="preserve"> (pays en développement)</w:t>
      </w:r>
      <w:r w:rsidRPr="00724816">
        <w:rPr>
          <w:rFonts w:ascii="Verdana" w:hAnsi="Verdana"/>
          <w:sz w:val="24"/>
          <w:szCs w:val="24"/>
        </w:rPr>
        <w:t xml:space="preserve"> : environ 4,5% en Afr</w:t>
      </w:r>
      <w:r>
        <w:rPr>
          <w:rFonts w:ascii="Verdana" w:hAnsi="Verdana"/>
          <w:sz w:val="24"/>
          <w:szCs w:val="24"/>
        </w:rPr>
        <w:t>ique</w:t>
      </w:r>
      <w:r w:rsidRPr="00724816">
        <w:rPr>
          <w:rFonts w:ascii="Verdana" w:hAnsi="Verdana"/>
          <w:sz w:val="24"/>
          <w:szCs w:val="24"/>
        </w:rPr>
        <w:t xml:space="preserve"> contre 1% en Europe ou en Amérique du N</w:t>
      </w:r>
      <w:r>
        <w:rPr>
          <w:rFonts w:ascii="Verdana" w:hAnsi="Verdana"/>
          <w:sz w:val="24"/>
          <w:szCs w:val="24"/>
        </w:rPr>
        <w:t>ord</w:t>
      </w:r>
      <w:r w:rsidRPr="00724816">
        <w:rPr>
          <w:rFonts w:ascii="Verdana" w:hAnsi="Verdana"/>
          <w:sz w:val="24"/>
          <w:szCs w:val="24"/>
        </w:rPr>
        <w:t xml:space="preserve">. Cela s’explique en partie par la </w:t>
      </w:r>
      <w:r w:rsidRPr="00724816">
        <w:rPr>
          <w:rFonts w:ascii="Verdana" w:hAnsi="Verdana"/>
          <w:b/>
          <w:bCs/>
          <w:sz w:val="24"/>
          <w:szCs w:val="24"/>
        </w:rPr>
        <w:t xml:space="preserve">croissance démographique </w:t>
      </w:r>
      <w:r w:rsidRPr="00724816">
        <w:rPr>
          <w:rFonts w:ascii="Verdana" w:hAnsi="Verdana"/>
          <w:sz w:val="24"/>
          <w:szCs w:val="24"/>
        </w:rPr>
        <w:t xml:space="preserve">des villes mais également par </w:t>
      </w:r>
      <w:r w:rsidRPr="00724816">
        <w:rPr>
          <w:rFonts w:ascii="Verdana" w:hAnsi="Verdana"/>
          <w:b/>
          <w:bCs/>
          <w:sz w:val="24"/>
          <w:szCs w:val="24"/>
        </w:rPr>
        <w:t>l’exode rural</w:t>
      </w:r>
      <w:r w:rsidRPr="00724816">
        <w:rPr>
          <w:rFonts w:ascii="Verdana" w:hAnsi="Verdana"/>
          <w:sz w:val="24"/>
          <w:szCs w:val="24"/>
        </w:rPr>
        <w:t>.</w:t>
      </w:r>
    </w:p>
    <w:p w:rsidR="00724816" w:rsidRPr="00724816" w:rsidRDefault="00724816" w:rsidP="00724816">
      <w:pPr>
        <w:rPr>
          <w:rFonts w:ascii="Verdana" w:hAnsi="Verdana"/>
          <w:color w:val="FF0000"/>
          <w:sz w:val="24"/>
          <w:szCs w:val="24"/>
        </w:rPr>
      </w:pPr>
      <w:r w:rsidRPr="00724816">
        <w:rPr>
          <w:rFonts w:ascii="Verdana" w:hAnsi="Verdana"/>
          <w:color w:val="FF0000"/>
          <w:sz w:val="24"/>
          <w:szCs w:val="24"/>
        </w:rPr>
        <w:t>B- L’étalement des villes.</w:t>
      </w:r>
    </w:p>
    <w:p w:rsidR="00724816" w:rsidRPr="00724816" w:rsidRDefault="00724816" w:rsidP="00724816">
      <w:pPr>
        <w:rPr>
          <w:rFonts w:ascii="Verdana" w:hAnsi="Verdana"/>
          <w:sz w:val="24"/>
          <w:szCs w:val="24"/>
        </w:rPr>
      </w:pPr>
      <w:r w:rsidRPr="00724816">
        <w:rPr>
          <w:rFonts w:ascii="Verdana" w:hAnsi="Verdana"/>
          <w:sz w:val="24"/>
          <w:szCs w:val="24"/>
        </w:rPr>
        <w:t>Les villes comptent de + en + d’habitants. On dénombre ainsi plus de 100 agglo</w:t>
      </w:r>
      <w:r>
        <w:rPr>
          <w:rFonts w:ascii="Verdana" w:hAnsi="Verdana"/>
          <w:sz w:val="24"/>
          <w:szCs w:val="24"/>
        </w:rPr>
        <w:t>mérations</w:t>
      </w:r>
      <w:r w:rsidRPr="00724816">
        <w:rPr>
          <w:rFonts w:ascii="Verdana" w:hAnsi="Verdana"/>
          <w:sz w:val="24"/>
          <w:szCs w:val="24"/>
        </w:rPr>
        <w:t xml:space="preserve"> de + de 5M d’habitants dans le monde, 48 agglomérations dépassent 10 M d’</w:t>
      </w:r>
      <w:proofErr w:type="spellStart"/>
      <w:r w:rsidRPr="00724816">
        <w:rPr>
          <w:rFonts w:ascii="Verdana" w:hAnsi="Verdana"/>
          <w:sz w:val="24"/>
          <w:szCs w:val="24"/>
        </w:rPr>
        <w:t>hab</w:t>
      </w:r>
      <w:proofErr w:type="spellEnd"/>
      <w:r w:rsidRPr="00724816">
        <w:rPr>
          <w:rFonts w:ascii="Verdana" w:hAnsi="Verdana"/>
          <w:sz w:val="24"/>
          <w:szCs w:val="24"/>
        </w:rPr>
        <w:t xml:space="preserve"> en 2018.</w:t>
      </w:r>
    </w:p>
    <w:p w:rsidR="00724816" w:rsidRPr="00724816" w:rsidRDefault="00724816" w:rsidP="00724816">
      <w:pPr>
        <w:rPr>
          <w:rFonts w:ascii="Verdana" w:hAnsi="Verdana"/>
          <w:sz w:val="24"/>
          <w:szCs w:val="24"/>
        </w:rPr>
      </w:pPr>
      <w:r w:rsidRPr="00724816">
        <w:rPr>
          <w:rFonts w:ascii="Verdana" w:hAnsi="Verdana"/>
          <w:sz w:val="24"/>
          <w:szCs w:val="24"/>
        </w:rPr>
        <w:t>Les villes s’étendent en superficie. Les + grandes absorbent alors leurs banlieues et deviennent des agglomérations.</w:t>
      </w:r>
    </w:p>
    <w:p w:rsidR="00724816" w:rsidRPr="00724816" w:rsidRDefault="00724816" w:rsidP="00724816">
      <w:pPr>
        <w:rPr>
          <w:rFonts w:ascii="Verdana" w:hAnsi="Verdana"/>
          <w:sz w:val="24"/>
          <w:szCs w:val="24"/>
        </w:rPr>
      </w:pPr>
      <w:r w:rsidRPr="00724816">
        <w:rPr>
          <w:rFonts w:ascii="Verdana" w:hAnsi="Verdana"/>
          <w:sz w:val="24"/>
          <w:szCs w:val="24"/>
        </w:rPr>
        <w:t xml:space="preserve">Cet </w:t>
      </w:r>
      <w:r w:rsidRPr="00724816">
        <w:rPr>
          <w:rFonts w:ascii="Verdana" w:hAnsi="Verdana"/>
          <w:b/>
          <w:bCs/>
          <w:sz w:val="24"/>
          <w:szCs w:val="24"/>
        </w:rPr>
        <w:t xml:space="preserve">étalement urbain </w:t>
      </w:r>
      <w:r w:rsidRPr="00724816">
        <w:rPr>
          <w:rFonts w:ascii="Verdana" w:hAnsi="Verdana"/>
          <w:sz w:val="24"/>
          <w:szCs w:val="24"/>
        </w:rPr>
        <w:t xml:space="preserve">qui se fait au détriment de l’espace rural est divers : Dans les pays développés, les citadins vont s’installer dans les espaces périphériques proches et dans les PED, l’exode rural est fort. </w:t>
      </w:r>
    </w:p>
    <w:p w:rsidR="00724816" w:rsidRPr="00724816" w:rsidRDefault="00724816" w:rsidP="00724816">
      <w:pPr>
        <w:rPr>
          <w:rFonts w:ascii="Verdana" w:hAnsi="Verdana"/>
          <w:color w:val="FF0000"/>
          <w:sz w:val="24"/>
          <w:szCs w:val="24"/>
        </w:rPr>
      </w:pPr>
      <w:r w:rsidRPr="00724816">
        <w:rPr>
          <w:rFonts w:ascii="Verdana" w:hAnsi="Verdana"/>
          <w:color w:val="FF0000"/>
          <w:sz w:val="24"/>
          <w:szCs w:val="24"/>
        </w:rPr>
        <w:t>C- Des paysages urbains variés.</w:t>
      </w:r>
    </w:p>
    <w:p w:rsidR="00724816" w:rsidRPr="00724816" w:rsidRDefault="00724816" w:rsidP="00724816">
      <w:pPr>
        <w:rPr>
          <w:rFonts w:ascii="Verdana" w:hAnsi="Verdana"/>
          <w:sz w:val="24"/>
          <w:szCs w:val="24"/>
        </w:rPr>
      </w:pPr>
      <w:r w:rsidRPr="00724816">
        <w:rPr>
          <w:rFonts w:ascii="Verdana" w:hAnsi="Verdana"/>
          <w:sz w:val="24"/>
          <w:szCs w:val="24"/>
        </w:rPr>
        <w:t>Les villes ont de multiples fonctions et accueillent des populations diverses. Elles héritent d’un patrimoine urbain différent selon les cultures.</w:t>
      </w:r>
    </w:p>
    <w:p w:rsidR="00D2551F" w:rsidRPr="00724816" w:rsidRDefault="00724816" w:rsidP="00724816">
      <w:pPr>
        <w:rPr>
          <w:rFonts w:ascii="Verdana" w:hAnsi="Verdana"/>
          <w:sz w:val="24"/>
          <w:szCs w:val="24"/>
        </w:rPr>
      </w:pPr>
      <w:r w:rsidRPr="00724816">
        <w:rPr>
          <w:rFonts w:ascii="Verdana" w:hAnsi="Verdana"/>
          <w:sz w:val="24"/>
          <w:szCs w:val="24"/>
        </w:rPr>
        <w:t>En Europe, les centre</w:t>
      </w:r>
      <w:r>
        <w:rPr>
          <w:rFonts w:ascii="Verdana" w:hAnsi="Verdana"/>
          <w:sz w:val="24"/>
          <w:szCs w:val="24"/>
        </w:rPr>
        <w:t>s</w:t>
      </w:r>
      <w:r w:rsidRPr="00724816">
        <w:rPr>
          <w:rFonts w:ascii="Verdana" w:hAnsi="Verdana"/>
          <w:sz w:val="24"/>
          <w:szCs w:val="24"/>
        </w:rPr>
        <w:t xml:space="preserve"> villes comportent souvent des </w:t>
      </w:r>
      <w:r w:rsidRPr="00724816">
        <w:rPr>
          <w:rFonts w:ascii="Verdana" w:hAnsi="Verdana"/>
          <w:b/>
          <w:bCs/>
          <w:sz w:val="24"/>
          <w:szCs w:val="24"/>
        </w:rPr>
        <w:t>bâtiments historiques</w:t>
      </w:r>
      <w:r w:rsidRPr="00724816">
        <w:rPr>
          <w:rFonts w:ascii="Verdana" w:hAnsi="Verdana"/>
          <w:sz w:val="24"/>
          <w:szCs w:val="24"/>
        </w:rPr>
        <w:t xml:space="preserve">, ce qui n’est pas le cas des </w:t>
      </w:r>
      <w:proofErr w:type="spellStart"/>
      <w:r w:rsidRPr="00724816">
        <w:rPr>
          <w:rFonts w:ascii="Verdana" w:hAnsi="Verdana"/>
          <w:b/>
          <w:bCs/>
          <w:sz w:val="24"/>
          <w:szCs w:val="24"/>
        </w:rPr>
        <w:t>downtown</w:t>
      </w:r>
      <w:proofErr w:type="spellEnd"/>
      <w:r w:rsidRPr="00724816">
        <w:rPr>
          <w:rFonts w:ascii="Verdana" w:hAnsi="Verdana"/>
          <w:b/>
          <w:bCs/>
          <w:sz w:val="24"/>
          <w:szCs w:val="24"/>
        </w:rPr>
        <w:t xml:space="preserve"> (centres-villes) </w:t>
      </w:r>
      <w:r w:rsidRPr="00724816">
        <w:rPr>
          <w:rFonts w:ascii="Verdana" w:hAnsi="Verdana"/>
          <w:sz w:val="24"/>
          <w:szCs w:val="24"/>
        </w:rPr>
        <w:t>d’Amérique du N</w:t>
      </w:r>
      <w:r>
        <w:rPr>
          <w:rFonts w:ascii="Verdana" w:hAnsi="Verdana"/>
          <w:sz w:val="24"/>
          <w:szCs w:val="24"/>
        </w:rPr>
        <w:t>ord</w:t>
      </w:r>
      <w:r w:rsidRPr="00724816">
        <w:rPr>
          <w:rFonts w:ascii="Verdana" w:hAnsi="Verdana"/>
          <w:sz w:val="24"/>
          <w:szCs w:val="24"/>
        </w:rPr>
        <w:t>. Les fonctions éco</w:t>
      </w:r>
      <w:r>
        <w:rPr>
          <w:rFonts w:ascii="Verdana" w:hAnsi="Verdana"/>
          <w:sz w:val="24"/>
          <w:szCs w:val="24"/>
        </w:rPr>
        <w:t>nomiques</w:t>
      </w:r>
      <w:r w:rsidRPr="00724816">
        <w:rPr>
          <w:rFonts w:ascii="Verdana" w:hAnsi="Verdana"/>
          <w:sz w:val="24"/>
          <w:szCs w:val="24"/>
        </w:rPr>
        <w:t xml:space="preserve"> se retrouvent dans les </w:t>
      </w:r>
      <w:r w:rsidRPr="00724816">
        <w:rPr>
          <w:rFonts w:ascii="Verdana" w:hAnsi="Verdana"/>
          <w:b/>
          <w:bCs/>
          <w:sz w:val="24"/>
          <w:szCs w:val="24"/>
        </w:rPr>
        <w:t>CBD</w:t>
      </w:r>
      <w:r w:rsidRPr="00724816">
        <w:rPr>
          <w:rFonts w:ascii="Verdana" w:hAnsi="Verdana"/>
          <w:sz w:val="24"/>
          <w:szCs w:val="24"/>
        </w:rPr>
        <w:t xml:space="preserve"> ou les marchés. L’habitat oppose des quartiers résidentiels privilégiés aux </w:t>
      </w:r>
      <w:r w:rsidRPr="00724816">
        <w:rPr>
          <w:rFonts w:ascii="Verdana" w:hAnsi="Verdana"/>
          <w:b/>
          <w:bCs/>
          <w:sz w:val="24"/>
          <w:szCs w:val="24"/>
        </w:rPr>
        <w:t>ghettos</w:t>
      </w:r>
      <w:r w:rsidRPr="00724816">
        <w:rPr>
          <w:rFonts w:ascii="Verdana" w:hAnsi="Verdana"/>
          <w:sz w:val="24"/>
          <w:szCs w:val="24"/>
        </w:rPr>
        <w:t xml:space="preserve"> (Lieu où une communauté vit en marge du reste de la population) et aux </w:t>
      </w:r>
      <w:r w:rsidRPr="00724816">
        <w:rPr>
          <w:rFonts w:ascii="Verdana" w:hAnsi="Verdana"/>
          <w:b/>
          <w:bCs/>
          <w:sz w:val="24"/>
          <w:szCs w:val="24"/>
        </w:rPr>
        <w:t>bidonvilles</w:t>
      </w:r>
      <w:r w:rsidRPr="00724816">
        <w:rPr>
          <w:rFonts w:ascii="Verdana" w:hAnsi="Verdana"/>
          <w:sz w:val="24"/>
          <w:szCs w:val="24"/>
        </w:rPr>
        <w:t xml:space="preserve">. La </w:t>
      </w:r>
      <w:r w:rsidRPr="00724816">
        <w:rPr>
          <w:rFonts w:ascii="Verdana" w:hAnsi="Verdana"/>
          <w:b/>
          <w:bCs/>
          <w:sz w:val="24"/>
          <w:szCs w:val="24"/>
        </w:rPr>
        <w:t xml:space="preserve">ségrégation socio-spatiale </w:t>
      </w:r>
      <w:r w:rsidRPr="00724816">
        <w:rPr>
          <w:rFonts w:ascii="Verdana" w:hAnsi="Verdana"/>
          <w:sz w:val="24"/>
          <w:szCs w:val="24"/>
        </w:rPr>
        <w:t xml:space="preserve">est forte dans les PED et dans les Pays développés, on parle de </w:t>
      </w:r>
      <w:r w:rsidRPr="00724816">
        <w:rPr>
          <w:rFonts w:ascii="Verdana" w:hAnsi="Verdana"/>
          <w:b/>
          <w:bCs/>
          <w:sz w:val="24"/>
          <w:szCs w:val="24"/>
        </w:rPr>
        <w:t>villes fragmentées.</w:t>
      </w:r>
    </w:p>
    <w:sectPr w:rsidR="00D2551F" w:rsidRPr="00724816" w:rsidSect="007248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4816"/>
    <w:rsid w:val="005524F2"/>
    <w:rsid w:val="00724816"/>
    <w:rsid w:val="00D2551F"/>
    <w:rsid w:val="00F1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2019-11-28T17:02:00Z</dcterms:created>
  <dcterms:modified xsi:type="dcterms:W3CDTF">2019-11-28T17:02:00Z</dcterms:modified>
</cp:coreProperties>
</file>