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62" w:rsidRPr="009C5038" w:rsidRDefault="00CE1662" w:rsidP="00CE1662">
      <w:pPr>
        <w:shd w:val="clear" w:color="auto" w:fill="A6A6A6" w:themeFill="background1" w:themeFillShade="A6"/>
        <w:jc w:val="center"/>
        <w:rPr>
          <w:b/>
        </w:rPr>
      </w:pPr>
      <w:r w:rsidRPr="009C5038">
        <w:rPr>
          <w:b/>
        </w:rPr>
        <w:t>ETAPE 6  : LE PLAN PRIX</w:t>
      </w:r>
      <w:r>
        <w:rPr>
          <w:b/>
        </w:rPr>
        <w:t xml:space="preserve">         Partie 1 </w:t>
      </w:r>
    </w:p>
    <w:p w:rsidR="00CE1662" w:rsidRDefault="00CE1662" w:rsidP="00CE1662">
      <w:pPr>
        <w:jc w:val="center"/>
        <w:rPr>
          <w:b/>
        </w:rPr>
      </w:pPr>
    </w:p>
    <w:p w:rsidR="00CE1662" w:rsidRDefault="00CE1662" w:rsidP="00CE1662">
      <w:pPr>
        <w:rPr>
          <w:rFonts w:eastAsia="Times New Roman" w:cstheme="minorHAnsi"/>
          <w:lang w:eastAsia="fr-FR"/>
        </w:rPr>
      </w:pPr>
      <w:r w:rsidRPr="008F0636">
        <w:rPr>
          <w:rFonts w:eastAsia="Times New Roman" w:cstheme="minorHAnsi"/>
          <w:lang w:eastAsia="fr-FR"/>
        </w:rPr>
        <w:t xml:space="preserve">La politique de prix concerne la stratégie de prix que vous utiliserez pour votre produit. Il existe en théorie </w:t>
      </w:r>
      <w:r w:rsidRPr="004A1257">
        <w:rPr>
          <w:rFonts w:eastAsia="Times New Roman" w:cstheme="minorHAnsi"/>
          <w:b/>
          <w:lang w:eastAsia="fr-FR"/>
        </w:rPr>
        <w:t>3 stratégies</w:t>
      </w:r>
      <w:r w:rsidRPr="008F0636">
        <w:rPr>
          <w:rFonts w:eastAsia="Times New Roman" w:cstheme="minorHAnsi"/>
          <w:lang w:eastAsia="fr-FR"/>
        </w:rPr>
        <w:t xml:space="preserve"> </w:t>
      </w:r>
      <w:r>
        <w:rPr>
          <w:rFonts w:eastAsia="Times New Roman" w:cstheme="minorHAnsi"/>
          <w:lang w:eastAsia="fr-FR"/>
        </w:rPr>
        <w:t xml:space="preserve">principales </w:t>
      </w:r>
      <w:r w:rsidRPr="008F0636">
        <w:rPr>
          <w:rFonts w:eastAsia="Times New Roman" w:cstheme="minorHAnsi"/>
          <w:lang w:eastAsia="fr-FR"/>
        </w:rPr>
        <w:t xml:space="preserve">de prix : </w:t>
      </w:r>
    </w:p>
    <w:tbl>
      <w:tblPr>
        <w:tblStyle w:val="Grilledutableau"/>
        <w:tblW w:w="0" w:type="auto"/>
        <w:tblLook w:val="04A0"/>
      </w:tblPr>
      <w:tblGrid>
        <w:gridCol w:w="1951"/>
        <w:gridCol w:w="7261"/>
      </w:tblGrid>
      <w:tr w:rsidR="00CE1662" w:rsidTr="00057B20">
        <w:tc>
          <w:tcPr>
            <w:tcW w:w="1951" w:type="dxa"/>
          </w:tcPr>
          <w:p w:rsidR="00CE1662" w:rsidRDefault="00CE1662" w:rsidP="00057B20">
            <w:pPr>
              <w:rPr>
                <w:rFonts w:eastAsia="Times New Roman" w:cstheme="minorHAnsi"/>
                <w:lang w:eastAsia="fr-FR"/>
              </w:rPr>
            </w:pPr>
          </w:p>
          <w:p w:rsidR="00CE1662" w:rsidRDefault="00CE1662" w:rsidP="00057B20">
            <w:pPr>
              <w:rPr>
                <w:rFonts w:eastAsia="Times New Roman" w:cstheme="minorHAnsi"/>
                <w:lang w:eastAsia="fr-FR"/>
              </w:rPr>
            </w:pPr>
          </w:p>
          <w:p w:rsidR="00CE1662" w:rsidRDefault="00CE1662" w:rsidP="00057B20">
            <w:pPr>
              <w:rPr>
                <w:rFonts w:eastAsia="Times New Roman" w:cstheme="minorHAnsi"/>
                <w:lang w:eastAsia="fr-FR"/>
              </w:rPr>
            </w:pPr>
          </w:p>
          <w:p w:rsidR="00CE1662" w:rsidRDefault="00CE1662" w:rsidP="00057B20">
            <w:pPr>
              <w:rPr>
                <w:rFonts w:eastAsia="Times New Roman" w:cstheme="minorHAnsi"/>
                <w:lang w:eastAsia="fr-FR"/>
              </w:rPr>
            </w:pPr>
            <w:r>
              <w:rPr>
                <w:rFonts w:eastAsia="Times New Roman" w:cstheme="minorHAnsi"/>
                <w:noProof/>
                <w:lang w:eastAsia="fr-FR"/>
              </w:rPr>
              <w:drawing>
                <wp:anchor distT="0" distB="0" distL="114300" distR="114300" simplePos="0" relativeHeight="251660288" behindDoc="1" locked="0" layoutInCell="1" allowOverlap="1">
                  <wp:simplePos x="0" y="0"/>
                  <wp:positionH relativeFrom="column">
                    <wp:posOffset>246380</wp:posOffset>
                  </wp:positionH>
                  <wp:positionV relativeFrom="paragraph">
                    <wp:posOffset>-414655</wp:posOffset>
                  </wp:positionV>
                  <wp:extent cx="594995" cy="471170"/>
                  <wp:effectExtent l="19050" t="0" r="0" b="0"/>
                  <wp:wrapTight wrapText="bothSides">
                    <wp:wrapPolygon edited="0">
                      <wp:start x="-692" y="0"/>
                      <wp:lineTo x="-692" y="20960"/>
                      <wp:lineTo x="21439" y="20960"/>
                      <wp:lineTo x="21439" y="0"/>
                      <wp:lineTo x="-692" y="0"/>
                    </wp:wrapPolygon>
                  </wp:wrapTight>
                  <wp:docPr id="13" name="il_fi" descr="http://www.distripool.fr/medias/distripool%20numero%201%20sur%20les%20p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stripool.fr/medias/distripool%20numero%201%20sur%20les%20prix.jpg"/>
                          <pic:cNvPicPr>
                            <a:picLocks noChangeAspect="1" noChangeArrowheads="1"/>
                          </pic:cNvPicPr>
                        </pic:nvPicPr>
                        <pic:blipFill>
                          <a:blip r:embed="rId7" cstate="print"/>
                          <a:srcRect/>
                          <a:stretch>
                            <a:fillRect/>
                          </a:stretch>
                        </pic:blipFill>
                        <pic:spPr bwMode="auto">
                          <a:xfrm>
                            <a:off x="0" y="0"/>
                            <a:ext cx="594995" cy="471170"/>
                          </a:xfrm>
                          <a:prstGeom prst="rect">
                            <a:avLst/>
                          </a:prstGeom>
                          <a:noFill/>
                          <a:ln w="9525">
                            <a:noFill/>
                            <a:miter lim="800000"/>
                            <a:headEnd/>
                            <a:tailEnd/>
                          </a:ln>
                        </pic:spPr>
                      </pic:pic>
                    </a:graphicData>
                  </a:graphic>
                </wp:anchor>
              </w:drawing>
            </w:r>
          </w:p>
        </w:tc>
        <w:tc>
          <w:tcPr>
            <w:tcW w:w="7261" w:type="dxa"/>
          </w:tcPr>
          <w:p w:rsidR="00CE1662" w:rsidRDefault="00CE1662" w:rsidP="00057B20">
            <w:pPr>
              <w:rPr>
                <w:rFonts w:eastAsia="Times New Roman" w:cstheme="minorHAnsi"/>
                <w:lang w:eastAsia="fr-FR"/>
              </w:rPr>
            </w:pPr>
            <w:r w:rsidRPr="008F0636">
              <w:rPr>
                <w:rFonts w:eastAsia="Times New Roman" w:cstheme="minorHAnsi"/>
                <w:b/>
                <w:u w:val="single"/>
                <w:lang w:eastAsia="fr-FR"/>
              </w:rPr>
              <w:t>La stratégie de pénétration</w:t>
            </w:r>
            <w:r w:rsidRPr="008F0636">
              <w:rPr>
                <w:rFonts w:eastAsia="Times New Roman" w:cstheme="minorHAnsi"/>
                <w:u w:val="single"/>
                <w:lang w:eastAsia="fr-FR"/>
              </w:rPr>
              <w:t xml:space="preserve"> </w:t>
            </w:r>
            <w:r w:rsidRPr="008F0636">
              <w:rPr>
                <w:rFonts w:eastAsia="Times New Roman" w:cstheme="minorHAnsi"/>
                <w:b/>
                <w:u w:val="single"/>
                <w:lang w:eastAsia="fr-FR"/>
              </w:rPr>
              <w:t>de marché</w:t>
            </w:r>
            <w:r w:rsidRPr="008F0636">
              <w:rPr>
                <w:rFonts w:eastAsia="Times New Roman" w:cstheme="minorHAnsi"/>
                <w:lang w:eastAsia="fr-FR"/>
              </w:rPr>
              <w:t xml:space="preserve"> </w:t>
            </w:r>
            <w:r>
              <w:rPr>
                <w:rFonts w:eastAsia="Times New Roman" w:cstheme="minorHAnsi"/>
                <w:lang w:eastAsia="fr-FR"/>
              </w:rPr>
              <w:t xml:space="preserve">: c'est </w:t>
            </w:r>
            <w:r w:rsidRPr="008F0636">
              <w:rPr>
                <w:rFonts w:eastAsia="Times New Roman" w:cstheme="minorHAnsi"/>
                <w:lang w:eastAsia="fr-FR"/>
              </w:rPr>
              <w:t xml:space="preserve"> la pratique </w:t>
            </w:r>
            <w:r w:rsidRPr="008F0636">
              <w:rPr>
                <w:rFonts w:eastAsia="Times New Roman" w:cstheme="minorHAnsi"/>
                <w:b/>
                <w:lang w:eastAsia="fr-FR"/>
              </w:rPr>
              <w:t>d’un prix plus bas</w:t>
            </w:r>
            <w:r w:rsidRPr="008F0636">
              <w:rPr>
                <w:rFonts w:eastAsia="Times New Roman" w:cstheme="minorHAnsi"/>
                <w:lang w:eastAsia="fr-FR"/>
              </w:rPr>
              <w:t xml:space="preserve"> que celui de la concurrence. Le succès de la stratégie de pénétration dépend du volume de</w:t>
            </w:r>
            <w:r>
              <w:rPr>
                <w:rFonts w:eastAsia="Times New Roman" w:cstheme="minorHAnsi"/>
                <w:lang w:eastAsia="fr-FR"/>
              </w:rPr>
              <w:t>s  ventes. Si les</w:t>
            </w:r>
            <w:r w:rsidRPr="008F0636">
              <w:rPr>
                <w:rFonts w:eastAsia="Times New Roman" w:cstheme="minorHAnsi"/>
                <w:lang w:eastAsia="fr-FR"/>
              </w:rPr>
              <w:t xml:space="preserve"> prix sont inférieurs à v</w:t>
            </w:r>
            <w:r>
              <w:rPr>
                <w:rFonts w:eastAsia="Times New Roman" w:cstheme="minorHAnsi"/>
                <w:lang w:eastAsia="fr-FR"/>
              </w:rPr>
              <w:t>os coûts, c'est la</w:t>
            </w:r>
            <w:r w:rsidRPr="008F0636">
              <w:rPr>
                <w:rFonts w:eastAsia="Times New Roman" w:cstheme="minorHAnsi"/>
                <w:lang w:eastAsia="fr-FR"/>
              </w:rPr>
              <w:t xml:space="preserve"> faillite ! </w:t>
            </w:r>
            <w:r>
              <w:rPr>
                <w:rFonts w:eastAsia="Times New Roman" w:cstheme="minorHAnsi"/>
                <w:lang w:eastAsia="fr-FR"/>
              </w:rPr>
              <w:t>Il faut alors calculer un seuil de rentabilité.</w:t>
            </w:r>
            <w:r w:rsidRPr="0063541B">
              <w:rPr>
                <w:rFonts w:ascii="Arial" w:hAnsi="Arial" w:cs="Arial"/>
                <w:noProof/>
                <w:sz w:val="20"/>
                <w:szCs w:val="20"/>
                <w:lang w:eastAsia="fr-FR"/>
              </w:rPr>
              <w:t xml:space="preserve"> </w:t>
            </w:r>
          </w:p>
          <w:p w:rsidR="00CE1662" w:rsidRDefault="00CE1662" w:rsidP="00057B20">
            <w:pPr>
              <w:rPr>
                <w:rFonts w:eastAsia="Times New Roman" w:cstheme="minorHAnsi"/>
                <w:lang w:eastAsia="fr-FR"/>
              </w:rPr>
            </w:pPr>
          </w:p>
        </w:tc>
      </w:tr>
      <w:tr w:rsidR="00CE1662" w:rsidTr="00057B20">
        <w:tc>
          <w:tcPr>
            <w:tcW w:w="1951" w:type="dxa"/>
          </w:tcPr>
          <w:p w:rsidR="00CE1662" w:rsidRDefault="00CE1662" w:rsidP="00057B20">
            <w:pPr>
              <w:rPr>
                <w:rFonts w:eastAsia="Times New Roman" w:cstheme="minorHAnsi"/>
                <w:lang w:eastAsia="fr-FR"/>
              </w:rPr>
            </w:pPr>
          </w:p>
          <w:p w:rsidR="00CE1662" w:rsidRDefault="00CE1662" w:rsidP="00057B20">
            <w:pPr>
              <w:rPr>
                <w:rFonts w:eastAsia="Times New Roman" w:cstheme="minorHAnsi"/>
                <w:lang w:eastAsia="fr-FR"/>
              </w:rPr>
            </w:pPr>
          </w:p>
          <w:p w:rsidR="00CE1662" w:rsidRDefault="00CE1662" w:rsidP="00057B20">
            <w:pPr>
              <w:rPr>
                <w:rFonts w:eastAsia="Times New Roman" w:cstheme="minorHAnsi"/>
                <w:lang w:eastAsia="fr-FR"/>
              </w:rPr>
            </w:pPr>
          </w:p>
          <w:p w:rsidR="00CE1662" w:rsidRDefault="00CE1662" w:rsidP="00057B20">
            <w:pPr>
              <w:rPr>
                <w:rFonts w:eastAsia="Times New Roman" w:cstheme="minorHAnsi"/>
                <w:lang w:eastAsia="fr-FR"/>
              </w:rPr>
            </w:pPr>
            <w:r>
              <w:rPr>
                <w:rFonts w:eastAsia="Times New Roman" w:cstheme="minorHAnsi"/>
                <w:noProof/>
                <w:lang w:eastAsia="fr-FR"/>
              </w:rPr>
              <w:drawing>
                <wp:anchor distT="0" distB="0" distL="114300" distR="114300" simplePos="0" relativeHeight="251661312" behindDoc="1" locked="0" layoutInCell="1" allowOverlap="1">
                  <wp:simplePos x="0" y="0"/>
                  <wp:positionH relativeFrom="column">
                    <wp:posOffset>290830</wp:posOffset>
                  </wp:positionH>
                  <wp:positionV relativeFrom="paragraph">
                    <wp:posOffset>-457835</wp:posOffset>
                  </wp:positionV>
                  <wp:extent cx="471170" cy="438150"/>
                  <wp:effectExtent l="19050" t="0" r="5080" b="0"/>
                  <wp:wrapTight wrapText="bothSides">
                    <wp:wrapPolygon edited="0">
                      <wp:start x="-873" y="0"/>
                      <wp:lineTo x="-873" y="20661"/>
                      <wp:lineTo x="21833" y="20661"/>
                      <wp:lineTo x="21833" y="0"/>
                      <wp:lineTo x="-873" y="0"/>
                    </wp:wrapPolygon>
                  </wp:wrapTight>
                  <wp:docPr id="17" name="il_fi" descr="http://www.studio7television.tv/MyImages/LOGO%20JUSTE%20P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udio7television.tv/MyImages/LOGO%20JUSTE%20PRIX.jpg"/>
                          <pic:cNvPicPr>
                            <a:picLocks noChangeAspect="1" noChangeArrowheads="1"/>
                          </pic:cNvPicPr>
                        </pic:nvPicPr>
                        <pic:blipFill>
                          <a:blip r:embed="rId8" cstate="print"/>
                          <a:srcRect/>
                          <a:stretch>
                            <a:fillRect/>
                          </a:stretch>
                        </pic:blipFill>
                        <pic:spPr bwMode="auto">
                          <a:xfrm>
                            <a:off x="0" y="0"/>
                            <a:ext cx="471170" cy="438150"/>
                          </a:xfrm>
                          <a:prstGeom prst="rect">
                            <a:avLst/>
                          </a:prstGeom>
                          <a:noFill/>
                          <a:ln w="9525">
                            <a:noFill/>
                            <a:miter lim="800000"/>
                            <a:headEnd/>
                            <a:tailEnd/>
                          </a:ln>
                        </pic:spPr>
                      </pic:pic>
                    </a:graphicData>
                  </a:graphic>
                </wp:anchor>
              </w:drawing>
            </w:r>
          </w:p>
        </w:tc>
        <w:tc>
          <w:tcPr>
            <w:tcW w:w="7261" w:type="dxa"/>
          </w:tcPr>
          <w:p w:rsidR="00CE1662" w:rsidRDefault="00CE1662" w:rsidP="00057B20">
            <w:pPr>
              <w:rPr>
                <w:rFonts w:eastAsia="Times New Roman" w:cstheme="minorHAnsi"/>
                <w:lang w:eastAsia="fr-FR"/>
              </w:rPr>
            </w:pPr>
            <w:r w:rsidRPr="008F0636">
              <w:rPr>
                <w:rFonts w:eastAsia="Times New Roman" w:cstheme="minorHAnsi"/>
                <w:b/>
                <w:u w:val="single"/>
                <w:lang w:eastAsia="fr-FR"/>
              </w:rPr>
              <w:t>La stratégie d'alignement</w:t>
            </w:r>
            <w:r>
              <w:rPr>
                <w:rFonts w:eastAsia="Times New Roman" w:cstheme="minorHAnsi"/>
                <w:lang w:eastAsia="fr-FR"/>
              </w:rPr>
              <w:t xml:space="preserve"> : elle correspond au fait de fixer </w:t>
            </w:r>
            <w:r w:rsidRPr="008F0636">
              <w:rPr>
                <w:rFonts w:eastAsia="Times New Roman" w:cstheme="minorHAnsi"/>
                <w:b/>
                <w:lang w:eastAsia="fr-FR"/>
              </w:rPr>
              <w:t>des prix égaux</w:t>
            </w:r>
            <w:r>
              <w:rPr>
                <w:rFonts w:eastAsia="Times New Roman" w:cstheme="minorHAnsi"/>
                <w:lang w:eastAsia="fr-FR"/>
              </w:rPr>
              <w:t xml:space="preserve"> à la concurrence. </w:t>
            </w:r>
            <w:r w:rsidRPr="008F0636">
              <w:rPr>
                <w:rFonts w:eastAsia="Times New Roman" w:cstheme="minorHAnsi"/>
                <w:lang w:eastAsia="fr-FR"/>
              </w:rPr>
              <w:t xml:space="preserve"> </w:t>
            </w:r>
          </w:p>
          <w:p w:rsidR="00CE1662" w:rsidRDefault="00CE1662" w:rsidP="00057B20">
            <w:pPr>
              <w:rPr>
                <w:rFonts w:eastAsia="Times New Roman" w:cstheme="minorHAnsi"/>
                <w:lang w:eastAsia="fr-FR"/>
              </w:rPr>
            </w:pPr>
          </w:p>
        </w:tc>
      </w:tr>
      <w:tr w:rsidR="00CE1662" w:rsidTr="00057B20">
        <w:trPr>
          <w:trHeight w:val="1354"/>
        </w:trPr>
        <w:tc>
          <w:tcPr>
            <w:tcW w:w="1951" w:type="dxa"/>
          </w:tcPr>
          <w:p w:rsidR="00CE1662" w:rsidRDefault="00CE1662" w:rsidP="00057B20">
            <w:pPr>
              <w:rPr>
                <w:rFonts w:eastAsia="Times New Roman" w:cstheme="minorHAnsi"/>
                <w:lang w:eastAsia="fr-FR"/>
              </w:rPr>
            </w:pPr>
          </w:p>
          <w:p w:rsidR="00CE1662" w:rsidRDefault="00CE1662" w:rsidP="00057B20">
            <w:pPr>
              <w:rPr>
                <w:rFonts w:eastAsia="Times New Roman" w:cstheme="minorHAnsi"/>
                <w:lang w:eastAsia="fr-FR"/>
              </w:rPr>
            </w:pPr>
            <w:r>
              <w:rPr>
                <w:rFonts w:ascii="Arial" w:hAnsi="Arial" w:cs="Arial"/>
                <w:noProof/>
                <w:sz w:val="20"/>
                <w:szCs w:val="20"/>
                <w:lang w:eastAsia="fr-FR"/>
              </w:rPr>
              <w:drawing>
                <wp:inline distT="0" distB="0" distL="0" distR="0">
                  <wp:extent cx="942975" cy="707232"/>
                  <wp:effectExtent l="19050" t="0" r="9525" b="0"/>
                  <wp:docPr id="23" name="il_fi" descr="http://www.navi-mag.com/site_img/ARTICLES/large/hausse-des-prix-l-economie-tire-vers-le-haut-id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vi-mag.com/site_img/ARTICLES/large/hausse-des-prix-l-economie-tire-vers-le-haut-id953.jpg"/>
                          <pic:cNvPicPr>
                            <a:picLocks noChangeAspect="1" noChangeArrowheads="1"/>
                          </pic:cNvPicPr>
                        </pic:nvPicPr>
                        <pic:blipFill>
                          <a:blip r:embed="rId9" cstate="print"/>
                          <a:srcRect/>
                          <a:stretch>
                            <a:fillRect/>
                          </a:stretch>
                        </pic:blipFill>
                        <pic:spPr bwMode="auto">
                          <a:xfrm>
                            <a:off x="0" y="0"/>
                            <a:ext cx="943539" cy="707655"/>
                          </a:xfrm>
                          <a:prstGeom prst="rect">
                            <a:avLst/>
                          </a:prstGeom>
                          <a:noFill/>
                          <a:ln w="9525">
                            <a:noFill/>
                            <a:miter lim="800000"/>
                            <a:headEnd/>
                            <a:tailEnd/>
                          </a:ln>
                        </pic:spPr>
                      </pic:pic>
                    </a:graphicData>
                  </a:graphic>
                </wp:inline>
              </w:drawing>
            </w:r>
          </w:p>
          <w:p w:rsidR="00CE1662" w:rsidRDefault="00CE1662" w:rsidP="00057B20">
            <w:pPr>
              <w:rPr>
                <w:rFonts w:eastAsia="Times New Roman" w:cstheme="minorHAnsi"/>
                <w:lang w:eastAsia="fr-FR"/>
              </w:rPr>
            </w:pPr>
          </w:p>
        </w:tc>
        <w:tc>
          <w:tcPr>
            <w:tcW w:w="7261" w:type="dxa"/>
          </w:tcPr>
          <w:p w:rsidR="00CE1662" w:rsidRDefault="00CE1662" w:rsidP="00057B20">
            <w:pPr>
              <w:rPr>
                <w:rFonts w:eastAsia="Times New Roman" w:cstheme="minorHAnsi"/>
                <w:b/>
                <w:u w:val="single"/>
                <w:lang w:eastAsia="fr-FR"/>
              </w:rPr>
            </w:pPr>
          </w:p>
          <w:p w:rsidR="00CE1662" w:rsidRDefault="00CE1662" w:rsidP="00057B20">
            <w:pPr>
              <w:rPr>
                <w:rFonts w:eastAsia="Times New Roman" w:cstheme="minorHAnsi"/>
                <w:lang w:eastAsia="fr-FR"/>
              </w:rPr>
            </w:pPr>
            <w:r w:rsidRPr="008F0636">
              <w:rPr>
                <w:rFonts w:eastAsia="Times New Roman" w:cstheme="minorHAnsi"/>
                <w:b/>
                <w:u w:val="single"/>
                <w:lang w:eastAsia="fr-FR"/>
              </w:rPr>
              <w:t>La stratégie d'écrémage</w:t>
            </w:r>
            <w:r>
              <w:rPr>
                <w:rFonts w:eastAsia="Times New Roman" w:cstheme="minorHAnsi"/>
                <w:lang w:eastAsia="fr-FR"/>
              </w:rPr>
              <w:t xml:space="preserve"> : Elle consiste à pratiquer </w:t>
            </w:r>
            <w:r w:rsidRPr="008F0636">
              <w:rPr>
                <w:rFonts w:eastAsia="Times New Roman" w:cstheme="minorHAnsi"/>
                <w:b/>
                <w:lang w:eastAsia="fr-FR"/>
              </w:rPr>
              <w:t>un prix plus cher</w:t>
            </w:r>
            <w:r w:rsidRPr="008F0636">
              <w:rPr>
                <w:rFonts w:eastAsia="Times New Roman" w:cstheme="minorHAnsi"/>
                <w:lang w:eastAsia="fr-FR"/>
              </w:rPr>
              <w:t xml:space="preserve"> que la concurrence</w:t>
            </w:r>
            <w:r>
              <w:rPr>
                <w:rFonts w:eastAsia="Times New Roman" w:cstheme="minorHAnsi"/>
                <w:lang w:eastAsia="fr-FR"/>
              </w:rPr>
              <w:t xml:space="preserve">. </w:t>
            </w:r>
            <w:r w:rsidRPr="008F0636">
              <w:rPr>
                <w:rFonts w:eastAsia="Times New Roman" w:cstheme="minorHAnsi"/>
                <w:lang w:eastAsia="fr-FR"/>
              </w:rPr>
              <w:t>Elle est pratiquée pour les produits à forte valeur ajoutée.</w:t>
            </w:r>
            <w:r>
              <w:rPr>
                <w:rFonts w:eastAsia="Times New Roman" w:cstheme="minorHAnsi"/>
                <w:lang w:eastAsia="fr-FR"/>
              </w:rPr>
              <w:t xml:space="preserve"> Le prix se trouve en calculant le coût plus la marge. </w:t>
            </w:r>
          </w:p>
        </w:tc>
      </w:tr>
    </w:tbl>
    <w:p w:rsidR="00CE1662" w:rsidRDefault="00CE1662" w:rsidP="00CE1662">
      <w:pPr>
        <w:rPr>
          <w:rFonts w:eastAsia="Times New Roman" w:cstheme="minorHAnsi"/>
          <w:lang w:eastAsia="fr-FR"/>
        </w:rPr>
      </w:pPr>
      <w:r>
        <w:rPr>
          <w:rFonts w:eastAsia="Times New Roman" w:cstheme="minorHAnsi"/>
          <w:noProof/>
          <w:lang w:eastAsia="fr-FR"/>
        </w:rPr>
        <w:drawing>
          <wp:anchor distT="0" distB="0" distL="114300" distR="114300" simplePos="0" relativeHeight="251662336" behindDoc="1" locked="0" layoutInCell="1" allowOverlap="1">
            <wp:simplePos x="0" y="0"/>
            <wp:positionH relativeFrom="column">
              <wp:posOffset>1842770</wp:posOffset>
            </wp:positionH>
            <wp:positionV relativeFrom="paragraph">
              <wp:posOffset>167005</wp:posOffset>
            </wp:positionV>
            <wp:extent cx="2551430" cy="1921510"/>
            <wp:effectExtent l="19050" t="0" r="1270" b="0"/>
            <wp:wrapTight wrapText="bothSides">
              <wp:wrapPolygon edited="0">
                <wp:start x="-161" y="0"/>
                <wp:lineTo x="-161" y="21414"/>
                <wp:lineTo x="21611" y="21414"/>
                <wp:lineTo x="21611" y="0"/>
                <wp:lineTo x="-161" y="0"/>
              </wp:wrapPolygon>
            </wp:wrapTight>
            <wp:docPr id="14" name="il_fi" descr="http://1.bp.blogspot.com/__k3HEhswiOA/TOmAvV1iGNI/AAAAAAAAAR8/1It-4rFbSGk/s1600/matrice_strategie_p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_k3HEhswiOA/TOmAvV1iGNI/AAAAAAAAAR8/1It-4rFbSGk/s1600/matrice_strategie_prix.gif"/>
                    <pic:cNvPicPr>
                      <a:picLocks noChangeAspect="1" noChangeArrowheads="1"/>
                    </pic:cNvPicPr>
                  </pic:nvPicPr>
                  <pic:blipFill>
                    <a:blip r:embed="rId10" cstate="print"/>
                    <a:srcRect/>
                    <a:stretch>
                      <a:fillRect/>
                    </a:stretch>
                  </pic:blipFill>
                  <pic:spPr bwMode="auto">
                    <a:xfrm>
                      <a:off x="0" y="0"/>
                      <a:ext cx="2551430" cy="1921510"/>
                    </a:xfrm>
                    <a:prstGeom prst="rect">
                      <a:avLst/>
                    </a:prstGeom>
                    <a:noFill/>
                    <a:ln w="9525">
                      <a:noFill/>
                      <a:miter lim="800000"/>
                      <a:headEnd/>
                      <a:tailEnd/>
                    </a:ln>
                  </pic:spPr>
                </pic:pic>
              </a:graphicData>
            </a:graphic>
          </wp:anchor>
        </w:drawing>
      </w:r>
    </w:p>
    <w:p w:rsidR="00CE1662" w:rsidRPr="008F0636" w:rsidRDefault="00CE1662" w:rsidP="00CE1662">
      <w:pPr>
        <w:rPr>
          <w:rFonts w:cstheme="minorHAnsi"/>
          <w:b/>
        </w:rPr>
      </w:pPr>
    </w:p>
    <w:p w:rsidR="00CE1662" w:rsidRDefault="00CE1662" w:rsidP="00CE1662"/>
    <w:p w:rsidR="00CE1662" w:rsidRDefault="00CE1662" w:rsidP="00CE1662"/>
    <w:p w:rsidR="00CE1662" w:rsidRDefault="00CE1662" w:rsidP="00CE1662"/>
    <w:p w:rsidR="00CE1662" w:rsidRDefault="00CE1662" w:rsidP="00CE1662"/>
    <w:p w:rsidR="00CE1662" w:rsidRDefault="00CE1662" w:rsidP="00CE1662">
      <w:r>
        <w:t>Le prix peut donc se fixer :</w:t>
      </w:r>
    </w:p>
    <w:p w:rsidR="00CE1662" w:rsidRDefault="00CE1662" w:rsidP="00CE1662">
      <w:pPr>
        <w:pBdr>
          <w:top w:val="single" w:sz="4" w:space="1" w:color="auto"/>
          <w:left w:val="single" w:sz="4" w:space="4" w:color="auto"/>
          <w:bottom w:val="single" w:sz="4" w:space="1" w:color="auto"/>
          <w:right w:val="single" w:sz="4" w:space="4" w:color="auto"/>
        </w:pBdr>
      </w:pPr>
      <w:r>
        <w:tab/>
      </w:r>
    </w:p>
    <w:p w:rsidR="00CE1662" w:rsidRDefault="00CE1662" w:rsidP="00CE1662">
      <w:pPr>
        <w:pBdr>
          <w:top w:val="single" w:sz="4" w:space="1" w:color="auto"/>
          <w:left w:val="single" w:sz="4" w:space="4" w:color="auto"/>
          <w:bottom w:val="single" w:sz="4" w:space="1" w:color="auto"/>
          <w:right w:val="single" w:sz="4" w:space="4" w:color="auto"/>
        </w:pBdr>
      </w:pPr>
      <w:r>
        <w:tab/>
        <w:t>- à partir de la concurrence : stratégie ..............................................................................</w:t>
      </w:r>
    </w:p>
    <w:p w:rsidR="00CE1662" w:rsidRDefault="00CE1662" w:rsidP="00CE1662">
      <w:pPr>
        <w:pBdr>
          <w:top w:val="single" w:sz="4" w:space="1" w:color="auto"/>
          <w:left w:val="single" w:sz="4" w:space="4" w:color="auto"/>
          <w:bottom w:val="single" w:sz="4" w:space="1" w:color="auto"/>
          <w:right w:val="single" w:sz="4" w:space="4" w:color="auto"/>
        </w:pBdr>
      </w:pPr>
      <w:r>
        <w:tab/>
        <w:t>- à partir du prix d'achat ou du coût de revient : .................................................................</w:t>
      </w:r>
    </w:p>
    <w:p w:rsidR="00CE1662" w:rsidRDefault="00CE1662" w:rsidP="00CE1662">
      <w:pPr>
        <w:pBdr>
          <w:top w:val="single" w:sz="4" w:space="1" w:color="auto"/>
          <w:left w:val="single" w:sz="4" w:space="4" w:color="auto"/>
          <w:bottom w:val="single" w:sz="4" w:space="1" w:color="auto"/>
          <w:right w:val="single" w:sz="4" w:space="4" w:color="auto"/>
        </w:pBdr>
        <w:rPr>
          <w:b/>
          <w:sz w:val="24"/>
          <w:szCs w:val="24"/>
        </w:rPr>
      </w:pPr>
      <w:r>
        <w:tab/>
        <w:t>- à partir de la demande : prix d'acceptabilité, ou prix psychologique</w:t>
      </w:r>
      <w:r>
        <w:tab/>
      </w:r>
    </w:p>
    <w:p w:rsidR="00CE1662" w:rsidRPr="00E21C10" w:rsidRDefault="00CE1662" w:rsidP="00CE1662">
      <w:pPr>
        <w:rPr>
          <w:b/>
          <w:sz w:val="24"/>
          <w:szCs w:val="24"/>
        </w:rPr>
      </w:pPr>
      <w:r w:rsidRPr="00E21C10">
        <w:rPr>
          <w:b/>
          <w:sz w:val="24"/>
          <w:szCs w:val="24"/>
        </w:rPr>
        <w:t xml:space="preserve">1. </w:t>
      </w:r>
      <w:r w:rsidRPr="00E21C10">
        <w:rPr>
          <w:b/>
          <w:sz w:val="24"/>
          <w:szCs w:val="24"/>
        </w:rPr>
        <w:tab/>
        <w:t>A partir de la concurrence</w:t>
      </w:r>
    </w:p>
    <w:p w:rsidR="00CE1662" w:rsidRDefault="00CE1662" w:rsidP="00CE1662">
      <w:pPr>
        <w:spacing w:after="0"/>
      </w:pPr>
      <w:r>
        <w:t>Intérêt d'une stratégie d'écrémage pour l'entreprise : ..................................................................................................................................................................</w:t>
      </w:r>
    </w:p>
    <w:p w:rsidR="00CE1662" w:rsidRDefault="00CE1662" w:rsidP="00CE1662">
      <w:pPr>
        <w:spacing w:after="0"/>
      </w:pPr>
      <w:r>
        <w:t>..................................................................................................................................................................</w:t>
      </w:r>
    </w:p>
    <w:p w:rsidR="00CE1662" w:rsidRDefault="00CE1662" w:rsidP="00CE1662">
      <w:pPr>
        <w:spacing w:before="100" w:beforeAutospacing="1" w:after="0"/>
      </w:pPr>
      <w:r>
        <w:t>Intérêt d'une stratégie de pénétration : ..................................................................................................................................................................</w:t>
      </w:r>
    </w:p>
    <w:p w:rsidR="00CE1662" w:rsidRDefault="00CE1662" w:rsidP="00CE1662">
      <w:pPr>
        <w:spacing w:after="0"/>
      </w:pPr>
      <w:r>
        <w:t>...................................................................................................................................................................</w:t>
      </w:r>
    </w:p>
    <w:p w:rsidR="00CE1662" w:rsidRDefault="00CE1662" w:rsidP="00CE1662">
      <w:pPr>
        <w:spacing w:after="0"/>
        <w:rPr>
          <w:sz w:val="24"/>
          <w:szCs w:val="24"/>
        </w:rPr>
      </w:pPr>
    </w:p>
    <w:p w:rsidR="00CE1662" w:rsidRDefault="00CE1662" w:rsidP="00CE1662">
      <w:pPr>
        <w:spacing w:after="0"/>
        <w:rPr>
          <w:b/>
          <w:sz w:val="24"/>
          <w:szCs w:val="24"/>
        </w:rPr>
      </w:pPr>
      <w:r w:rsidRPr="00E21C10">
        <w:rPr>
          <w:sz w:val="24"/>
          <w:szCs w:val="24"/>
        </w:rPr>
        <w:lastRenderedPageBreak/>
        <w:t>2.</w:t>
      </w:r>
      <w:r w:rsidRPr="00E21C10">
        <w:rPr>
          <w:sz w:val="24"/>
          <w:szCs w:val="24"/>
        </w:rPr>
        <w:tab/>
      </w:r>
      <w:r w:rsidRPr="00E21C10">
        <w:rPr>
          <w:b/>
          <w:sz w:val="24"/>
          <w:szCs w:val="24"/>
        </w:rPr>
        <w:t>A partir d'un prix d'achat HT (rappel des notions de MRCU</w:t>
      </w:r>
      <w:r>
        <w:rPr>
          <w:b/>
          <w:sz w:val="24"/>
          <w:szCs w:val="24"/>
        </w:rPr>
        <w:t xml:space="preserve"> : Fiche Outils en document 1</w:t>
      </w:r>
      <w:r w:rsidRPr="00E21C10">
        <w:rPr>
          <w:b/>
          <w:sz w:val="24"/>
          <w:szCs w:val="24"/>
        </w:rPr>
        <w:t>)</w:t>
      </w:r>
    </w:p>
    <w:p w:rsidR="00CE1662" w:rsidRPr="00E21C10" w:rsidRDefault="00CE1662" w:rsidP="00CE1662">
      <w:pPr>
        <w:spacing w:after="0"/>
        <w:rPr>
          <w:b/>
          <w:sz w:val="24"/>
          <w:szCs w:val="24"/>
        </w:rPr>
      </w:pPr>
    </w:p>
    <w:p w:rsidR="00CE1662" w:rsidRDefault="00CE1662" w:rsidP="00CE1662">
      <w:pPr>
        <w:spacing w:after="0"/>
        <w:rPr>
          <w:u w:val="single"/>
        </w:rPr>
      </w:pPr>
      <w:r w:rsidRPr="00137E98">
        <w:rPr>
          <w:u w:val="single"/>
        </w:rPr>
        <w:t>Application</w:t>
      </w:r>
    </w:p>
    <w:p w:rsidR="00CE1662" w:rsidRDefault="00CE1662" w:rsidP="00CE1662">
      <w:pPr>
        <w:spacing w:after="0"/>
      </w:pPr>
      <w:r w:rsidRPr="00137E98">
        <w:t xml:space="preserve">Calculez les différents éléments qui </w:t>
      </w:r>
      <w:r>
        <w:t>constituent le prix de vente TTC d'une paire de chaussure vendue chez Intersport, qui a été achetée 73,60 € TTC au fournisseur (P.A.TTC)</w:t>
      </w:r>
    </w:p>
    <w:p w:rsidR="00CE1662" w:rsidRDefault="00CE1662" w:rsidP="00CE1662">
      <w:pPr>
        <w:spacing w:after="0"/>
      </w:pPr>
      <w:r>
        <w:t xml:space="preserve">Sachant que le taux de marque pratiqué est de 25 %, et la TVA à 20 %, calculez : </w:t>
      </w:r>
    </w:p>
    <w:p w:rsidR="00CE1662" w:rsidRDefault="00CE1662" w:rsidP="00CE1662">
      <w:pPr>
        <w:spacing w:after="0"/>
      </w:pPr>
    </w:p>
    <w:p w:rsidR="00CE1662" w:rsidRDefault="00CE1662" w:rsidP="00CE1662">
      <w:pPr>
        <w:spacing w:after="0"/>
      </w:pPr>
      <w:r>
        <w:tab/>
        <w:t>2.1 Le prix d'achat HT auprès du fournisseur</w:t>
      </w:r>
    </w:p>
    <w:p w:rsidR="00CE1662" w:rsidRDefault="00CE1662" w:rsidP="00CE1662">
      <w:pPr>
        <w:spacing w:after="0"/>
      </w:pPr>
      <w:r>
        <w:t>...................................................................................................................................................................</w:t>
      </w:r>
    </w:p>
    <w:p w:rsidR="00CE1662" w:rsidRDefault="00CE1662" w:rsidP="00CE1662">
      <w:pPr>
        <w:spacing w:after="0"/>
      </w:pPr>
    </w:p>
    <w:p w:rsidR="00CE1662" w:rsidRDefault="00CE1662" w:rsidP="00CE1662">
      <w:pPr>
        <w:spacing w:after="0"/>
      </w:pPr>
      <w:r>
        <w:tab/>
        <w:t>2.2</w:t>
      </w:r>
      <w:r w:rsidRPr="00E21C10">
        <w:t xml:space="preserve"> </w:t>
      </w:r>
      <w:r>
        <w:t>La marge dégagée par Intersport</w:t>
      </w:r>
    </w:p>
    <w:p w:rsidR="00CE1662" w:rsidRDefault="00CE1662" w:rsidP="00CE1662">
      <w:pPr>
        <w:spacing w:after="0"/>
      </w:pPr>
      <w:r>
        <w:t>...................................................................................................................................................................</w:t>
      </w:r>
    </w:p>
    <w:p w:rsidR="00CE1662" w:rsidRDefault="00CE1662" w:rsidP="00CE1662">
      <w:pPr>
        <w:spacing w:after="0"/>
      </w:pPr>
    </w:p>
    <w:p w:rsidR="00CE1662" w:rsidRDefault="00CE1662" w:rsidP="00CE1662">
      <w:pPr>
        <w:spacing w:after="0"/>
      </w:pPr>
      <w:r>
        <w:tab/>
        <w:t>2.3 le montant de la TVA (arrondir à l'entier inférieur)</w:t>
      </w:r>
    </w:p>
    <w:p w:rsidR="00CE1662" w:rsidRDefault="00CE1662" w:rsidP="00CE1662">
      <w:pPr>
        <w:spacing w:after="0"/>
      </w:pPr>
      <w:r>
        <w:t>...................................................................................................................................................................</w:t>
      </w:r>
    </w:p>
    <w:p w:rsidR="00CE1662" w:rsidRDefault="00CE1662" w:rsidP="00CE1662">
      <w:pPr>
        <w:spacing w:after="0"/>
      </w:pPr>
    </w:p>
    <w:p w:rsidR="00CE1662" w:rsidRDefault="00CE1662" w:rsidP="00CE1662">
      <w:pPr>
        <w:spacing w:after="0"/>
      </w:pPr>
      <w:r>
        <w:tab/>
        <w:t>2.4 Le prix de vente TTC chez Intersport</w:t>
      </w:r>
    </w:p>
    <w:p w:rsidR="00CE1662" w:rsidRDefault="00CE1662" w:rsidP="00CE1662">
      <w:pPr>
        <w:spacing w:after="0"/>
      </w:pPr>
      <w:r>
        <w:t>...................................................................................................................................................................</w:t>
      </w:r>
    </w:p>
    <w:p w:rsidR="00CE1662" w:rsidRPr="00137E98" w:rsidRDefault="00CE1662" w:rsidP="00CE1662">
      <w:pPr>
        <w:spacing w:after="0"/>
      </w:pPr>
    </w:p>
    <w:p w:rsidR="00CE1662" w:rsidRDefault="00CE1662" w:rsidP="00CE1662">
      <w:pPr>
        <w:spacing w:after="0"/>
      </w:pPr>
      <w:r>
        <w:tab/>
        <w:t>2.5 L</w:t>
      </w:r>
      <w:r w:rsidRPr="00A700DA">
        <w:t>e coefficient multiplicateur</w:t>
      </w:r>
      <w:r>
        <w:t xml:space="preserve">, qui permet de passer du PAHT au PVTTC </w:t>
      </w:r>
    </w:p>
    <w:p w:rsidR="00CE1662" w:rsidRDefault="00CE1662" w:rsidP="00CE1662">
      <w:pPr>
        <w:spacing w:after="0"/>
      </w:pPr>
      <w:r>
        <w:t>...................................................................................................................................................................</w:t>
      </w:r>
    </w:p>
    <w:p w:rsidR="00CE1662" w:rsidRDefault="00CE1662" w:rsidP="00CE1662">
      <w:pPr>
        <w:spacing w:after="0"/>
      </w:pPr>
    </w:p>
    <w:p w:rsidR="00CE1662" w:rsidRDefault="00CE1662" w:rsidP="00CE1662">
      <w:pPr>
        <w:spacing w:after="0"/>
      </w:pPr>
      <w:r>
        <w:t xml:space="preserve">Les ventes de chaussures ne sont pas celles escomptées. Vous réalisez une promotion et vous fixez le nouveau prix de vente TTC à 77 €. </w:t>
      </w:r>
    </w:p>
    <w:p w:rsidR="00CE1662" w:rsidRDefault="00CE1662" w:rsidP="00CE1662">
      <w:pPr>
        <w:spacing w:after="0"/>
      </w:pPr>
      <w:r>
        <w:rPr>
          <w:noProof/>
          <w:lang w:eastAsia="fr-FR"/>
        </w:rPr>
        <w:drawing>
          <wp:anchor distT="0" distB="0" distL="114300" distR="114300" simplePos="0" relativeHeight="251663360" behindDoc="1" locked="0" layoutInCell="1" allowOverlap="1">
            <wp:simplePos x="0" y="0"/>
            <wp:positionH relativeFrom="column">
              <wp:posOffset>1384935</wp:posOffset>
            </wp:positionH>
            <wp:positionV relativeFrom="paragraph">
              <wp:posOffset>88900</wp:posOffset>
            </wp:positionV>
            <wp:extent cx="1818640" cy="819150"/>
            <wp:effectExtent l="19050" t="0" r="0" b="0"/>
            <wp:wrapTight wrapText="bothSides">
              <wp:wrapPolygon edited="0">
                <wp:start x="-226" y="0"/>
                <wp:lineTo x="-226" y="21098"/>
                <wp:lineTo x="21494" y="21098"/>
                <wp:lineTo x="21494" y="0"/>
                <wp:lineTo x="-226" y="0"/>
              </wp:wrapPolygon>
            </wp:wrapTight>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818640" cy="819150"/>
                    </a:xfrm>
                    <a:prstGeom prst="rect">
                      <a:avLst/>
                    </a:prstGeom>
                    <a:noFill/>
                    <a:ln w="9525">
                      <a:noFill/>
                      <a:miter lim="800000"/>
                      <a:headEnd/>
                      <a:tailEnd/>
                    </a:ln>
                  </pic:spPr>
                </pic:pic>
              </a:graphicData>
            </a:graphic>
          </wp:anchor>
        </w:drawing>
      </w:r>
    </w:p>
    <w:p w:rsidR="00CE1662" w:rsidRDefault="00CE1662" w:rsidP="00CE1662">
      <w:pPr>
        <w:spacing w:after="0"/>
        <w:rPr>
          <w:noProof/>
          <w:lang w:eastAsia="fr-FR"/>
        </w:rPr>
      </w:pPr>
      <w:r>
        <w:rPr>
          <w:noProof/>
          <w:lang w:eastAsia="fr-FR"/>
        </w:rPr>
        <w:tab/>
        <w:t xml:space="preserve">2.6 Calculez : </w:t>
      </w:r>
    </w:p>
    <w:p w:rsidR="00CE1662" w:rsidRDefault="00CE1662" w:rsidP="00CE1662">
      <w:pPr>
        <w:spacing w:after="0"/>
        <w:rPr>
          <w:noProof/>
          <w:lang w:eastAsia="fr-FR"/>
        </w:rPr>
      </w:pPr>
    </w:p>
    <w:p w:rsidR="00CE1662" w:rsidRDefault="00CE1662" w:rsidP="00CE1662">
      <w:pPr>
        <w:spacing w:after="0"/>
      </w:pPr>
    </w:p>
    <w:p w:rsidR="00CE1662" w:rsidRDefault="00CE1662" w:rsidP="00CE1662">
      <w:pPr>
        <w:spacing w:after="0"/>
      </w:pPr>
    </w:p>
    <w:p w:rsidR="00CE1662" w:rsidRDefault="00CE1662" w:rsidP="00CE1662">
      <w:pPr>
        <w:spacing w:after="0"/>
      </w:pPr>
      <w:r>
        <w:t>en complétant le tableau ci-dessous :</w:t>
      </w:r>
    </w:p>
    <w:p w:rsidR="00CE1662" w:rsidRDefault="00CE1662" w:rsidP="00CE1662">
      <w:pPr>
        <w:spacing w:after="0"/>
      </w:pPr>
    </w:p>
    <w:tbl>
      <w:tblPr>
        <w:tblStyle w:val="Grilledutableau"/>
        <w:tblW w:w="0" w:type="auto"/>
        <w:jc w:val="center"/>
        <w:tblLook w:val="04A0"/>
      </w:tblPr>
      <w:tblGrid>
        <w:gridCol w:w="1519"/>
        <w:gridCol w:w="1556"/>
        <w:gridCol w:w="1508"/>
        <w:gridCol w:w="1546"/>
        <w:gridCol w:w="1609"/>
        <w:gridCol w:w="1548"/>
      </w:tblGrid>
      <w:tr w:rsidR="00CE1662" w:rsidTr="00057B20">
        <w:trPr>
          <w:jc w:val="center"/>
        </w:trPr>
        <w:tc>
          <w:tcPr>
            <w:tcW w:w="1629" w:type="dxa"/>
            <w:vAlign w:val="center"/>
          </w:tcPr>
          <w:p w:rsidR="00CE1662" w:rsidRDefault="00CE1662" w:rsidP="00057B20">
            <w:pPr>
              <w:jc w:val="center"/>
            </w:pPr>
          </w:p>
        </w:tc>
        <w:tc>
          <w:tcPr>
            <w:tcW w:w="1629" w:type="dxa"/>
            <w:shd w:val="clear" w:color="auto" w:fill="C2D69B" w:themeFill="accent3" w:themeFillTint="99"/>
            <w:vAlign w:val="center"/>
          </w:tcPr>
          <w:p w:rsidR="00CE1662" w:rsidRPr="00F850DC" w:rsidRDefault="00CE1662" w:rsidP="00057B20">
            <w:pPr>
              <w:jc w:val="center"/>
            </w:pPr>
            <w:r w:rsidRPr="00F850DC">
              <w:t>% de réduction accordée</w:t>
            </w:r>
          </w:p>
        </w:tc>
        <w:tc>
          <w:tcPr>
            <w:tcW w:w="1630" w:type="dxa"/>
            <w:shd w:val="clear" w:color="auto" w:fill="C2D69B" w:themeFill="accent3" w:themeFillTint="99"/>
            <w:vAlign w:val="center"/>
          </w:tcPr>
          <w:p w:rsidR="00CE1662" w:rsidRPr="00F850DC" w:rsidRDefault="00CE1662" w:rsidP="00057B20">
            <w:pPr>
              <w:jc w:val="center"/>
            </w:pPr>
            <w:r w:rsidRPr="00F850DC">
              <w:t>Prix de vente H.T *</w:t>
            </w:r>
          </w:p>
        </w:tc>
        <w:tc>
          <w:tcPr>
            <w:tcW w:w="1630" w:type="dxa"/>
            <w:shd w:val="clear" w:color="auto" w:fill="C2D69B" w:themeFill="accent3" w:themeFillTint="99"/>
            <w:vAlign w:val="center"/>
          </w:tcPr>
          <w:p w:rsidR="00CE1662" w:rsidRPr="00F850DC" w:rsidRDefault="00CE1662" w:rsidP="00057B20">
            <w:pPr>
              <w:jc w:val="center"/>
            </w:pPr>
            <w:r>
              <w:t>Nouvelle m</w:t>
            </w:r>
            <w:r w:rsidRPr="00F850DC">
              <w:t>arge (€)</w:t>
            </w:r>
          </w:p>
        </w:tc>
        <w:tc>
          <w:tcPr>
            <w:tcW w:w="1630" w:type="dxa"/>
            <w:shd w:val="clear" w:color="auto" w:fill="C2D69B" w:themeFill="accent3" w:themeFillTint="99"/>
            <w:vAlign w:val="center"/>
          </w:tcPr>
          <w:p w:rsidR="00CE1662" w:rsidRPr="00F850DC" w:rsidRDefault="00CE1662" w:rsidP="00057B20">
            <w:pPr>
              <w:jc w:val="center"/>
            </w:pPr>
            <w:r w:rsidRPr="00F850DC">
              <w:t>Coefficient multiplicateur</w:t>
            </w:r>
          </w:p>
        </w:tc>
        <w:tc>
          <w:tcPr>
            <w:tcW w:w="1630" w:type="dxa"/>
            <w:shd w:val="clear" w:color="auto" w:fill="C2D69B" w:themeFill="accent3" w:themeFillTint="99"/>
            <w:vAlign w:val="center"/>
          </w:tcPr>
          <w:p w:rsidR="00CE1662" w:rsidRDefault="00CE1662" w:rsidP="00057B20">
            <w:pPr>
              <w:jc w:val="center"/>
            </w:pPr>
            <w:r>
              <w:t xml:space="preserve">Nouveau </w:t>
            </w:r>
          </w:p>
          <w:p w:rsidR="00CE1662" w:rsidRPr="00F850DC" w:rsidRDefault="00CE1662" w:rsidP="00057B20">
            <w:pPr>
              <w:jc w:val="center"/>
            </w:pPr>
            <w:r w:rsidRPr="00F850DC">
              <w:t>Taux de marque</w:t>
            </w:r>
          </w:p>
        </w:tc>
      </w:tr>
      <w:tr w:rsidR="00CE1662" w:rsidTr="00057B20">
        <w:trPr>
          <w:jc w:val="center"/>
        </w:trPr>
        <w:tc>
          <w:tcPr>
            <w:tcW w:w="1629" w:type="dxa"/>
            <w:vAlign w:val="center"/>
          </w:tcPr>
          <w:p w:rsidR="00CE1662" w:rsidRDefault="00CE1662" w:rsidP="00057B20">
            <w:pPr>
              <w:jc w:val="center"/>
            </w:pPr>
          </w:p>
          <w:p w:rsidR="00CE1662" w:rsidRDefault="00CE1662" w:rsidP="00057B20">
            <w:pPr>
              <w:jc w:val="center"/>
            </w:pPr>
            <w:r>
              <w:t>Détail ds calculs</w:t>
            </w:r>
          </w:p>
          <w:p w:rsidR="00CE1662" w:rsidRDefault="00CE1662" w:rsidP="00057B20">
            <w:pPr>
              <w:jc w:val="center"/>
            </w:pPr>
          </w:p>
        </w:tc>
        <w:tc>
          <w:tcPr>
            <w:tcW w:w="1629" w:type="dxa"/>
            <w:vAlign w:val="center"/>
          </w:tcPr>
          <w:p w:rsidR="00CE1662" w:rsidRDefault="00CE1662" w:rsidP="00057B20">
            <w:pPr>
              <w:jc w:val="center"/>
            </w:pPr>
          </w:p>
          <w:p w:rsidR="00CE1662" w:rsidRDefault="00CE1662" w:rsidP="00057B20">
            <w:pPr>
              <w:jc w:val="center"/>
            </w:pPr>
          </w:p>
          <w:p w:rsidR="00CE1662" w:rsidRDefault="00CE1662" w:rsidP="00057B20">
            <w:pPr>
              <w:jc w:val="center"/>
            </w:pPr>
          </w:p>
          <w:p w:rsidR="00CE1662" w:rsidRDefault="00CE1662" w:rsidP="00057B20">
            <w:pPr>
              <w:jc w:val="center"/>
            </w:pPr>
          </w:p>
          <w:p w:rsidR="00CE1662" w:rsidRDefault="00CE1662" w:rsidP="00057B20">
            <w:pPr>
              <w:jc w:val="center"/>
            </w:pPr>
          </w:p>
        </w:tc>
        <w:tc>
          <w:tcPr>
            <w:tcW w:w="1630" w:type="dxa"/>
            <w:vAlign w:val="center"/>
          </w:tcPr>
          <w:p w:rsidR="00CE1662" w:rsidRDefault="00CE1662" w:rsidP="00057B20">
            <w:pPr>
              <w:jc w:val="center"/>
            </w:pPr>
          </w:p>
        </w:tc>
        <w:tc>
          <w:tcPr>
            <w:tcW w:w="1630" w:type="dxa"/>
            <w:vAlign w:val="center"/>
          </w:tcPr>
          <w:p w:rsidR="00CE1662" w:rsidRDefault="00CE1662" w:rsidP="00057B20">
            <w:pPr>
              <w:jc w:val="center"/>
            </w:pPr>
          </w:p>
        </w:tc>
        <w:tc>
          <w:tcPr>
            <w:tcW w:w="1630" w:type="dxa"/>
            <w:vAlign w:val="center"/>
          </w:tcPr>
          <w:p w:rsidR="00CE1662" w:rsidRDefault="00CE1662" w:rsidP="00057B20">
            <w:pPr>
              <w:jc w:val="center"/>
            </w:pPr>
          </w:p>
        </w:tc>
        <w:tc>
          <w:tcPr>
            <w:tcW w:w="1630" w:type="dxa"/>
            <w:vAlign w:val="center"/>
          </w:tcPr>
          <w:p w:rsidR="00CE1662" w:rsidRDefault="00CE1662" w:rsidP="00057B20">
            <w:pPr>
              <w:jc w:val="center"/>
            </w:pPr>
          </w:p>
        </w:tc>
      </w:tr>
    </w:tbl>
    <w:p w:rsidR="00CE1662" w:rsidRDefault="00CE1662" w:rsidP="00CE1662">
      <w:pPr>
        <w:spacing w:after="0"/>
      </w:pPr>
      <w:r>
        <w:t>* Arrondir à l'entier inférieur</w:t>
      </w:r>
    </w:p>
    <w:p w:rsidR="00CE1662" w:rsidRDefault="00CE1662" w:rsidP="00CE1662">
      <w:pPr>
        <w:spacing w:after="0"/>
      </w:pPr>
    </w:p>
    <w:p w:rsidR="00CE1662" w:rsidRDefault="00CE1662" w:rsidP="00CE1662">
      <w:pPr>
        <w:spacing w:after="0"/>
      </w:pPr>
      <w:r>
        <w:tab/>
        <w:t>2.7 On vous informe de la législation en matière de prix (Document 2).</w:t>
      </w:r>
    </w:p>
    <w:p w:rsidR="00CE1662" w:rsidRDefault="00CE1662" w:rsidP="00CE1662">
      <w:pPr>
        <w:spacing w:after="0"/>
      </w:pPr>
      <w:r>
        <w:t>Que constatez-vous ?</w:t>
      </w:r>
    </w:p>
    <w:p w:rsidR="00CE1662" w:rsidRDefault="00CE1662" w:rsidP="00CE1662">
      <w:pPr>
        <w:spacing w:after="0"/>
      </w:pPr>
      <w:r>
        <w:t>......................................................................................................................................................................................................................................................................................................................................</w:t>
      </w:r>
    </w:p>
    <w:p w:rsidR="00CE1662" w:rsidRPr="00492E27" w:rsidRDefault="00CE1662" w:rsidP="00CE1662">
      <w:pPr>
        <w:pStyle w:val="Titre1"/>
        <w:shd w:val="clear" w:color="auto" w:fill="FFFFFF"/>
        <w:jc w:val="center"/>
        <w:rPr>
          <w:rStyle w:val="field"/>
          <w:rFonts w:asciiTheme="minorHAnsi" w:hAnsiTheme="minorHAnsi" w:cs="Arial"/>
          <w:bCs w:val="0"/>
          <w:color w:val="1F2B50"/>
          <w:sz w:val="22"/>
          <w:szCs w:val="22"/>
          <w:u w:val="single"/>
        </w:rPr>
      </w:pPr>
      <w:r w:rsidRPr="00492E27">
        <w:rPr>
          <w:rStyle w:val="field"/>
          <w:rFonts w:asciiTheme="minorHAnsi" w:hAnsiTheme="minorHAnsi" w:cs="Arial"/>
          <w:bCs w:val="0"/>
          <w:color w:val="1F2B50"/>
          <w:sz w:val="22"/>
          <w:szCs w:val="22"/>
          <w:u w:val="single"/>
        </w:rPr>
        <w:lastRenderedPageBreak/>
        <w:t>Document 1</w:t>
      </w:r>
    </w:p>
    <w:p w:rsidR="00CE1662" w:rsidRPr="00584199" w:rsidRDefault="00CE1662" w:rsidP="00CE1662">
      <w:pPr>
        <w:jc w:val="center"/>
        <w:rPr>
          <w:b/>
          <w:color w:val="C00000"/>
        </w:rPr>
      </w:pPr>
      <w:r w:rsidRPr="00584199">
        <w:rPr>
          <w:b/>
          <w:color w:val="C00000"/>
        </w:rPr>
        <w:t>Fiche Outils PRIX</w:t>
      </w:r>
    </w:p>
    <w:tbl>
      <w:tblPr>
        <w:tblpPr w:leftFromText="141" w:rightFromText="141" w:vertAnchor="text" w:horzAnchor="margin" w:tblpXSpec="right" w:tblpY="682"/>
        <w:tblW w:w="3773" w:type="dxa"/>
        <w:tblCellMar>
          <w:left w:w="70" w:type="dxa"/>
          <w:right w:w="70" w:type="dxa"/>
        </w:tblCellMar>
        <w:tblLook w:val="04A0"/>
      </w:tblPr>
      <w:tblGrid>
        <w:gridCol w:w="904"/>
        <w:gridCol w:w="1059"/>
        <w:gridCol w:w="1072"/>
        <w:gridCol w:w="738"/>
      </w:tblGrid>
      <w:tr w:rsidR="00CE1662" w:rsidRPr="00124D4C" w:rsidTr="00057B20">
        <w:trPr>
          <w:trHeight w:val="210"/>
        </w:trPr>
        <w:tc>
          <w:tcPr>
            <w:tcW w:w="3773" w:type="dxa"/>
            <w:gridSpan w:val="4"/>
            <w:tcBorders>
              <w:top w:val="single" w:sz="8" w:space="0" w:color="auto"/>
              <w:left w:val="single" w:sz="8" w:space="0" w:color="auto"/>
              <w:bottom w:val="nil"/>
              <w:right w:val="single" w:sz="8" w:space="0" w:color="000000"/>
            </w:tcBorders>
            <w:shd w:val="clear" w:color="auto" w:fill="auto"/>
            <w:noWrap/>
            <w:vAlign w:val="bottom"/>
            <w:hideMark/>
          </w:tcPr>
          <w:p w:rsidR="00CE1662" w:rsidRPr="00124D4C" w:rsidRDefault="00CE1662" w:rsidP="00057B20">
            <w:pPr>
              <w:spacing w:after="0" w:line="240" w:lineRule="auto"/>
              <w:jc w:val="center"/>
              <w:rPr>
                <w:rFonts w:ascii="Calibri" w:eastAsia="Times New Roman" w:hAnsi="Calibri" w:cs="Times New Roman"/>
                <w:b/>
                <w:bCs/>
                <w:color w:val="000000"/>
                <w:lang w:eastAsia="fr-FR"/>
              </w:rPr>
            </w:pPr>
            <w:r w:rsidRPr="00124D4C">
              <w:rPr>
                <w:rFonts w:ascii="Calibri" w:eastAsia="Times New Roman" w:hAnsi="Calibri" w:cs="Times New Roman"/>
                <w:b/>
                <w:bCs/>
                <w:color w:val="000000"/>
                <w:lang w:eastAsia="fr-FR"/>
              </w:rPr>
              <w:t>Marge et Taux de marque</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u w:val="single"/>
                <w:lang w:eastAsia="fr-FR"/>
              </w:rPr>
            </w:pPr>
            <w:r w:rsidRPr="00124D4C">
              <w:rPr>
                <w:rFonts w:ascii="Calibri" w:eastAsia="Times New Roman" w:hAnsi="Calibri" w:cs="Times New Roman"/>
                <w:color w:val="000000"/>
                <w:u w:val="single"/>
                <w:lang w:eastAsia="fr-FR"/>
              </w:rPr>
              <w:t>Exemple</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1963" w:type="dxa"/>
            <w:gridSpan w:val="2"/>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Taux de marque :</w:t>
            </w: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jc w:val="right"/>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20%</w:t>
            </w: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1963" w:type="dxa"/>
            <w:gridSpan w:val="2"/>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Tableau de proportionnalité</w:t>
            </w: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420"/>
        </w:trPr>
        <w:tc>
          <w:tcPr>
            <w:tcW w:w="904" w:type="dxa"/>
            <w:tcBorders>
              <w:top w:val="single" w:sz="4" w:space="0" w:color="auto"/>
              <w:left w:val="single" w:sz="8" w:space="0" w:color="auto"/>
              <w:bottom w:val="single" w:sz="4" w:space="0" w:color="auto"/>
              <w:right w:val="single" w:sz="4" w:space="0" w:color="auto"/>
            </w:tcBorders>
            <w:shd w:val="clear" w:color="000000" w:fill="C5D9F1"/>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Coû</w:t>
            </w:r>
            <w:r>
              <w:rPr>
                <w:rFonts w:ascii="Calibri" w:eastAsia="Times New Roman" w:hAnsi="Calibri" w:cs="Times New Roman"/>
                <w:color w:val="000000"/>
                <w:lang w:eastAsia="fr-FR"/>
              </w:rPr>
              <w:t>t</w:t>
            </w:r>
            <w:r w:rsidRPr="00124D4C">
              <w:rPr>
                <w:rFonts w:ascii="Calibri" w:eastAsia="Times New Roman" w:hAnsi="Calibri" w:cs="Times New Roman"/>
                <w:color w:val="000000"/>
                <w:lang w:eastAsia="fr-FR"/>
              </w:rPr>
              <w:t xml:space="preserve"> d'achat</w:t>
            </w:r>
          </w:p>
        </w:tc>
        <w:tc>
          <w:tcPr>
            <w:tcW w:w="1059" w:type="dxa"/>
            <w:tcBorders>
              <w:top w:val="single" w:sz="4" w:space="0" w:color="auto"/>
              <w:left w:val="nil"/>
              <w:bottom w:val="single" w:sz="4" w:space="0" w:color="auto"/>
              <w:right w:val="single" w:sz="4" w:space="0" w:color="auto"/>
            </w:tcBorders>
            <w:shd w:val="clear" w:color="000000" w:fill="C5D9F1"/>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Marge brute</w:t>
            </w:r>
          </w:p>
        </w:tc>
        <w:tc>
          <w:tcPr>
            <w:tcW w:w="1072" w:type="dxa"/>
            <w:tcBorders>
              <w:top w:val="single" w:sz="4" w:space="0" w:color="auto"/>
              <w:left w:val="nil"/>
              <w:bottom w:val="single" w:sz="4" w:space="0" w:color="auto"/>
              <w:right w:val="single" w:sz="4" w:space="0" w:color="auto"/>
            </w:tcBorders>
            <w:shd w:val="clear" w:color="000000" w:fill="C5D9F1"/>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Prix de vente H.T</w:t>
            </w:r>
          </w:p>
        </w:tc>
        <w:tc>
          <w:tcPr>
            <w:tcW w:w="738" w:type="dxa"/>
            <w:tcBorders>
              <w:top w:val="nil"/>
              <w:left w:val="nil"/>
              <w:bottom w:val="nil"/>
              <w:right w:val="single" w:sz="8" w:space="0" w:color="auto"/>
            </w:tcBorders>
            <w:shd w:val="clear" w:color="auto" w:fill="auto"/>
            <w:noWrap/>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420"/>
        </w:trPr>
        <w:tc>
          <w:tcPr>
            <w:tcW w:w="904" w:type="dxa"/>
            <w:tcBorders>
              <w:top w:val="nil"/>
              <w:left w:val="single" w:sz="8" w:space="0" w:color="auto"/>
              <w:bottom w:val="single" w:sz="4" w:space="0" w:color="auto"/>
              <w:right w:val="single" w:sz="4" w:space="0" w:color="auto"/>
            </w:tcBorders>
            <w:shd w:val="clear" w:color="auto" w:fill="auto"/>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640</w:t>
            </w:r>
          </w:p>
        </w:tc>
        <w:tc>
          <w:tcPr>
            <w:tcW w:w="1059" w:type="dxa"/>
            <w:tcBorders>
              <w:top w:val="nil"/>
              <w:left w:val="nil"/>
              <w:bottom w:val="single" w:sz="4" w:space="0" w:color="auto"/>
              <w:right w:val="single" w:sz="4" w:space="0" w:color="auto"/>
            </w:tcBorders>
            <w:shd w:val="clear" w:color="auto" w:fill="auto"/>
            <w:vAlign w:val="center"/>
            <w:hideMark/>
          </w:tcPr>
          <w:p w:rsidR="00CE1662" w:rsidRPr="00124D4C" w:rsidRDefault="00613172" w:rsidP="00057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noProof/>
                <w:color w:val="000000"/>
                <w:lang w:eastAsia="fr-FR"/>
              </w:rPr>
              <w:pict>
                <v:shapetype id="_x0000_t32" coordsize="21600,21600" o:spt="32" o:oned="t" path="m,l21600,21600e" filled="f">
                  <v:path arrowok="t" fillok="f" o:connecttype="none"/>
                  <o:lock v:ext="edit" shapetype="t"/>
                </v:shapetype>
                <v:shape id="_x0000_s1027" type="#_x0000_t32" style="position:absolute;left:0;text-align:left;margin-left:40.2pt;margin-top:15.7pt;width:21.35pt;height:17.3pt;flip:y;z-index:251668480;mso-position-horizontal-relative:text;mso-position-vertical-relative:text" o:connectortype="straight">
                  <v:stroke endarrow="block"/>
                </v:shape>
              </w:pict>
            </w:r>
            <w:r>
              <w:rPr>
                <w:rFonts w:ascii="Calibri" w:eastAsia="Times New Roman" w:hAnsi="Calibri" w:cs="Times New Roman"/>
                <w:noProof/>
                <w:color w:val="000000"/>
                <w:lang w:eastAsia="fr-FR"/>
              </w:rPr>
              <w:pict>
                <v:shape id="_x0000_s1026" type="#_x0000_t32" style="position:absolute;left:0;text-align:left;margin-left:44.85pt;margin-top:15.7pt;width:12.65pt;height:13.85pt;flip:x y;z-index:251667456;mso-position-horizontal-relative:text;mso-position-vertical-relative:text" o:connectortype="straight">
                  <v:stroke endarrow="block"/>
                </v:shape>
              </w:pict>
            </w:r>
            <w:r w:rsidR="00CE1662" w:rsidRPr="00124D4C">
              <w:rPr>
                <w:rFonts w:ascii="Calibri" w:eastAsia="Times New Roman" w:hAnsi="Calibri" w:cs="Times New Roman"/>
                <w:color w:val="000000"/>
                <w:lang w:eastAsia="fr-FR"/>
              </w:rPr>
              <w:t>160</w:t>
            </w:r>
          </w:p>
        </w:tc>
        <w:tc>
          <w:tcPr>
            <w:tcW w:w="1072" w:type="dxa"/>
            <w:tcBorders>
              <w:top w:val="nil"/>
              <w:left w:val="nil"/>
              <w:bottom w:val="single" w:sz="4" w:space="0" w:color="auto"/>
              <w:right w:val="single" w:sz="4" w:space="0" w:color="auto"/>
            </w:tcBorders>
            <w:shd w:val="clear" w:color="auto" w:fill="auto"/>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800</w:t>
            </w:r>
          </w:p>
        </w:tc>
        <w:tc>
          <w:tcPr>
            <w:tcW w:w="738" w:type="dxa"/>
            <w:tcBorders>
              <w:top w:val="nil"/>
              <w:left w:val="nil"/>
              <w:bottom w:val="nil"/>
              <w:right w:val="single" w:sz="8" w:space="0" w:color="auto"/>
            </w:tcBorders>
            <w:shd w:val="clear" w:color="auto" w:fill="auto"/>
            <w:noWrap/>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r w:rsidR="00355D65">
              <w:rPr>
                <w:rFonts w:ascii="Calibri" w:eastAsia="Times New Roman" w:hAnsi="Calibri" w:cs="Times New Roman"/>
                <w:color w:val="000000"/>
                <w:lang w:eastAsia="fr-FR"/>
              </w:rPr>
              <w:t>€</w:t>
            </w:r>
          </w:p>
        </w:tc>
      </w:tr>
      <w:tr w:rsidR="00CE1662" w:rsidRPr="00124D4C" w:rsidTr="00057B20">
        <w:trPr>
          <w:trHeight w:val="420"/>
        </w:trPr>
        <w:tc>
          <w:tcPr>
            <w:tcW w:w="904"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Pr>
                <w:rFonts w:ascii="Calibri" w:eastAsia="Times New Roman" w:hAnsi="Calibri" w:cs="Times New Roman"/>
                <w:noProof/>
                <w:color w:val="000000"/>
                <w:lang w:eastAsia="fr-FR"/>
              </w:rPr>
              <w:drawing>
                <wp:anchor distT="0" distB="0" distL="114300" distR="114300" simplePos="0" relativeHeight="251666432" behindDoc="0" locked="0" layoutInCell="1" allowOverlap="1">
                  <wp:simplePos x="0" y="0"/>
                  <wp:positionH relativeFrom="column">
                    <wp:posOffset>266700</wp:posOffset>
                  </wp:positionH>
                  <wp:positionV relativeFrom="paragraph">
                    <wp:posOffset>323850</wp:posOffset>
                  </wp:positionV>
                  <wp:extent cx="161925" cy="381000"/>
                  <wp:effectExtent l="0" t="0" r="635" b="0"/>
                  <wp:wrapNone/>
                  <wp:docPr id="12" name="Connecteur droit avec flèch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2900" y="2505075"/>
                            <a:ext cx="9525" cy="295275"/>
                            <a:chOff x="342900" y="2505075"/>
                            <a:chExt cx="9525" cy="295275"/>
                          </a:xfrm>
                        </a:grpSpPr>
                        <a:cxnSp>
                          <a:nvCxnSpPr>
                            <a:cNvPr id="3" name="Connecteur droit avec flèche 2"/>
                            <a:cNvCxnSpPr/>
                          </a:nvCxnSpPr>
                          <a:spPr>
                            <a:xfrm flipV="1">
                              <a:off x="342900" y="2505075"/>
                              <a:ext cx="9525" cy="2952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anchor>
              </w:drawing>
            </w:r>
          </w:p>
          <w:tbl>
            <w:tblPr>
              <w:tblW w:w="661" w:type="dxa"/>
              <w:tblCellSpacing w:w="0" w:type="dxa"/>
              <w:tblCellMar>
                <w:left w:w="0" w:type="dxa"/>
                <w:right w:w="0" w:type="dxa"/>
              </w:tblCellMar>
              <w:tblLook w:val="04A0"/>
            </w:tblPr>
            <w:tblGrid>
              <w:gridCol w:w="661"/>
            </w:tblGrid>
            <w:tr w:rsidR="00CE1662" w:rsidRPr="00124D4C" w:rsidTr="00057B20">
              <w:trPr>
                <w:trHeight w:val="420"/>
                <w:tblCellSpacing w:w="0" w:type="dxa"/>
              </w:trPr>
              <w:tc>
                <w:tcPr>
                  <w:tcW w:w="661" w:type="dxa"/>
                  <w:tcBorders>
                    <w:top w:val="nil"/>
                    <w:left w:val="single" w:sz="8" w:space="0" w:color="auto"/>
                    <w:bottom w:val="single" w:sz="4" w:space="0" w:color="auto"/>
                    <w:right w:val="single" w:sz="4" w:space="0" w:color="auto"/>
                  </w:tcBorders>
                  <w:shd w:val="clear" w:color="auto" w:fill="auto"/>
                  <w:vAlign w:val="center"/>
                  <w:hideMark/>
                </w:tcPr>
                <w:p w:rsidR="00CE1662" w:rsidRPr="00124D4C" w:rsidRDefault="00CE1662" w:rsidP="00A45C1F">
                  <w:pPr>
                    <w:framePr w:hSpace="141" w:wrap="around" w:vAnchor="text" w:hAnchor="margin" w:xAlign="right" w:y="682"/>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80</w:t>
                  </w:r>
                </w:p>
              </w:tc>
            </w:tr>
          </w:tbl>
          <w:p w:rsidR="00CE1662" w:rsidRPr="00124D4C" w:rsidRDefault="00CE1662" w:rsidP="00057B20">
            <w:pPr>
              <w:spacing w:after="0" w:line="240" w:lineRule="auto"/>
              <w:rPr>
                <w:rFonts w:ascii="Calibri" w:eastAsia="Times New Roman" w:hAnsi="Calibri" w:cs="Times New Roman"/>
                <w:color w:val="000000"/>
                <w:lang w:eastAsia="fr-FR"/>
              </w:rPr>
            </w:pPr>
          </w:p>
        </w:tc>
        <w:tc>
          <w:tcPr>
            <w:tcW w:w="1059" w:type="dxa"/>
            <w:tcBorders>
              <w:top w:val="nil"/>
              <w:left w:val="nil"/>
              <w:bottom w:val="single" w:sz="4" w:space="0" w:color="auto"/>
              <w:right w:val="single" w:sz="4" w:space="0" w:color="auto"/>
            </w:tcBorders>
            <w:shd w:val="clear" w:color="auto" w:fill="auto"/>
            <w:vAlign w:val="center"/>
            <w:hideMark/>
          </w:tcPr>
          <w:p w:rsidR="00355D65" w:rsidRDefault="00355D65" w:rsidP="00057B20">
            <w:pPr>
              <w:spacing w:after="0" w:line="240" w:lineRule="auto"/>
              <w:jc w:val="center"/>
              <w:rPr>
                <w:rFonts w:ascii="Calibri" w:eastAsia="Times New Roman" w:hAnsi="Calibri" w:cs="Times New Roman"/>
                <w:color w:val="FF0000"/>
                <w:lang w:eastAsia="fr-FR"/>
              </w:rPr>
            </w:pPr>
          </w:p>
          <w:p w:rsidR="00CE1662" w:rsidRPr="00124D4C" w:rsidRDefault="00CE1662" w:rsidP="00057B20">
            <w:pPr>
              <w:spacing w:after="0" w:line="240" w:lineRule="auto"/>
              <w:jc w:val="center"/>
              <w:rPr>
                <w:rFonts w:ascii="Calibri" w:eastAsia="Times New Roman" w:hAnsi="Calibri" w:cs="Times New Roman"/>
                <w:color w:val="FF0000"/>
                <w:lang w:eastAsia="fr-FR"/>
              </w:rPr>
            </w:pPr>
            <w:r w:rsidRPr="00124D4C">
              <w:rPr>
                <w:rFonts w:ascii="Calibri" w:eastAsia="Times New Roman" w:hAnsi="Calibri" w:cs="Times New Roman"/>
                <w:color w:val="FF0000"/>
                <w:lang w:eastAsia="fr-FR"/>
              </w:rPr>
              <w:t>20</w:t>
            </w:r>
          </w:p>
        </w:tc>
        <w:tc>
          <w:tcPr>
            <w:tcW w:w="1072" w:type="dxa"/>
            <w:tcBorders>
              <w:top w:val="nil"/>
              <w:left w:val="nil"/>
              <w:bottom w:val="single" w:sz="4" w:space="0" w:color="auto"/>
              <w:right w:val="single" w:sz="4" w:space="0" w:color="auto"/>
            </w:tcBorders>
            <w:shd w:val="clear" w:color="auto" w:fill="auto"/>
            <w:vAlign w:val="center"/>
            <w:hideMark/>
          </w:tcPr>
          <w:p w:rsidR="00CE1662" w:rsidRPr="00124D4C" w:rsidRDefault="00613172" w:rsidP="00057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noProof/>
                <w:color w:val="000000"/>
                <w:lang w:eastAsia="fr-FR"/>
              </w:rPr>
              <w:pict>
                <v:shape id="_x0000_s1028" type="#_x0000_t32" style="position:absolute;left:0;text-align:left;margin-left:29.75pt;margin-top:15.05pt;width:53.9pt;height:283.75pt;flip:x y;z-index:251670528;mso-position-horizontal-relative:text;mso-position-vertical-relative:text" o:connectortype="straight">
                  <v:stroke endarrow="block"/>
                </v:shape>
              </w:pict>
            </w:r>
            <w:r w:rsidR="00CE1662" w:rsidRPr="00124D4C">
              <w:rPr>
                <w:rFonts w:ascii="Calibri" w:eastAsia="Times New Roman" w:hAnsi="Calibri" w:cs="Times New Roman"/>
                <w:color w:val="000000"/>
                <w:lang w:eastAsia="fr-FR"/>
              </w:rPr>
              <w:t>100</w:t>
            </w:r>
          </w:p>
        </w:tc>
        <w:tc>
          <w:tcPr>
            <w:tcW w:w="738" w:type="dxa"/>
            <w:tcBorders>
              <w:top w:val="nil"/>
              <w:left w:val="nil"/>
              <w:bottom w:val="nil"/>
              <w:right w:val="single" w:sz="8" w:space="0" w:color="auto"/>
            </w:tcBorders>
            <w:shd w:val="clear" w:color="auto" w:fill="auto"/>
            <w:noWrap/>
            <w:vAlign w:val="center"/>
            <w:hideMark/>
          </w:tcPr>
          <w:p w:rsidR="00CE1662" w:rsidRPr="00124D4C" w:rsidRDefault="00355D65" w:rsidP="00057B2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w:t>
            </w:r>
            <w:r w:rsidR="00CE1662" w:rsidRPr="00124D4C">
              <w:rPr>
                <w:rFonts w:ascii="Calibri" w:eastAsia="Times New Roman" w:hAnsi="Calibri" w:cs="Times New Roman"/>
                <w:color w:val="000000"/>
                <w:lang w:eastAsia="fr-FR"/>
              </w:rPr>
              <w:t> </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420"/>
        </w:trPr>
        <w:tc>
          <w:tcPr>
            <w:tcW w:w="9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100-</w:t>
            </w:r>
            <w:r w:rsidRPr="00124D4C">
              <w:rPr>
                <w:rFonts w:ascii="Calibri" w:eastAsia="Times New Roman" w:hAnsi="Calibri" w:cs="Times New Roman"/>
                <w:color w:val="FF0000"/>
                <w:lang w:eastAsia="fr-FR"/>
              </w:rPr>
              <w:t>20</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1963" w:type="dxa"/>
            <w:gridSpan w:val="2"/>
            <w:vMerge w:val="restart"/>
            <w:tcBorders>
              <w:top w:val="nil"/>
              <w:left w:val="single" w:sz="8" w:space="0" w:color="auto"/>
              <w:bottom w:val="nil"/>
              <w:right w:val="nil"/>
            </w:tcBorders>
            <w:shd w:val="clear" w:color="auto" w:fill="auto"/>
            <w:noWrap/>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xml:space="preserve">      Taux d</w:t>
            </w:r>
            <w:r>
              <w:rPr>
                <w:rFonts w:ascii="Calibri" w:eastAsia="Times New Roman" w:hAnsi="Calibri" w:cs="Times New Roman"/>
                <w:color w:val="000000"/>
                <w:lang w:eastAsia="fr-FR"/>
              </w:rPr>
              <w:t>e</w:t>
            </w:r>
            <w:r w:rsidRPr="00124D4C">
              <w:rPr>
                <w:rFonts w:ascii="Calibri" w:eastAsia="Times New Roman" w:hAnsi="Calibri" w:cs="Times New Roman"/>
                <w:color w:val="000000"/>
                <w:lang w:eastAsia="fr-FR"/>
              </w:rPr>
              <w:t xml:space="preserve"> marque = </w:t>
            </w:r>
          </w:p>
        </w:tc>
        <w:tc>
          <w:tcPr>
            <w:tcW w:w="1072" w:type="dxa"/>
            <w:tcBorders>
              <w:top w:val="nil"/>
              <w:left w:val="nil"/>
              <w:bottom w:val="single" w:sz="4" w:space="0" w:color="auto"/>
              <w:right w:val="nil"/>
            </w:tcBorders>
            <w:shd w:val="clear" w:color="auto" w:fill="auto"/>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Marge brute</w:t>
            </w:r>
          </w:p>
        </w:tc>
        <w:tc>
          <w:tcPr>
            <w:tcW w:w="738" w:type="dxa"/>
            <w:tcBorders>
              <w:top w:val="nil"/>
              <w:left w:val="nil"/>
              <w:bottom w:val="single" w:sz="4" w:space="0" w:color="auto"/>
              <w:right w:val="single" w:sz="8" w:space="0" w:color="auto"/>
            </w:tcBorders>
            <w:shd w:val="clear" w:color="auto" w:fill="auto"/>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X100</w:t>
            </w:r>
          </w:p>
        </w:tc>
      </w:tr>
      <w:tr w:rsidR="00CE1662" w:rsidRPr="00124D4C" w:rsidTr="00057B20">
        <w:trPr>
          <w:trHeight w:val="210"/>
        </w:trPr>
        <w:tc>
          <w:tcPr>
            <w:tcW w:w="1963" w:type="dxa"/>
            <w:gridSpan w:val="2"/>
            <w:vMerge/>
            <w:tcBorders>
              <w:top w:val="nil"/>
              <w:left w:val="single" w:sz="8" w:space="0" w:color="auto"/>
              <w:bottom w:val="nil"/>
              <w:right w:val="nil"/>
            </w:tcBorders>
            <w:vAlign w:val="center"/>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810" w:type="dxa"/>
            <w:gridSpan w:val="2"/>
            <w:tcBorders>
              <w:top w:val="nil"/>
              <w:left w:val="nil"/>
              <w:bottom w:val="nil"/>
              <w:right w:val="single" w:sz="8" w:space="0" w:color="000000"/>
            </w:tcBorders>
            <w:shd w:val="clear" w:color="auto" w:fill="auto"/>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Prix de vente HT</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vAlign w:val="center"/>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xml:space="preserve">TM = </w:t>
            </w:r>
          </w:p>
        </w:tc>
        <w:tc>
          <w:tcPr>
            <w:tcW w:w="1072" w:type="dxa"/>
            <w:tcBorders>
              <w:top w:val="nil"/>
              <w:left w:val="nil"/>
              <w:bottom w:val="single" w:sz="4" w:space="0" w:color="auto"/>
              <w:right w:val="nil"/>
            </w:tcBorders>
            <w:shd w:val="clear" w:color="auto" w:fill="auto"/>
            <w:noWrap/>
            <w:vAlign w:val="bottom"/>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160 x 100</w:t>
            </w: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jc w:val="center"/>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800</w:t>
            </w: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210"/>
        </w:trPr>
        <w:tc>
          <w:tcPr>
            <w:tcW w:w="904" w:type="dxa"/>
            <w:tcBorders>
              <w:top w:val="nil"/>
              <w:left w:val="single" w:sz="8" w:space="0" w:color="auto"/>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1072" w:type="dxa"/>
            <w:tcBorders>
              <w:top w:val="nil"/>
              <w:left w:val="nil"/>
              <w:bottom w:val="nil"/>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p>
        </w:tc>
        <w:tc>
          <w:tcPr>
            <w:tcW w:w="738" w:type="dxa"/>
            <w:tcBorders>
              <w:top w:val="nil"/>
              <w:left w:val="nil"/>
              <w:bottom w:val="nil"/>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r w:rsidR="00CE1662" w:rsidRPr="00124D4C" w:rsidTr="00057B20">
        <w:trPr>
          <w:trHeight w:val="66"/>
        </w:trPr>
        <w:tc>
          <w:tcPr>
            <w:tcW w:w="904" w:type="dxa"/>
            <w:tcBorders>
              <w:top w:val="nil"/>
              <w:left w:val="single" w:sz="8" w:space="0" w:color="auto"/>
              <w:bottom w:val="single" w:sz="8" w:space="0" w:color="auto"/>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59" w:type="dxa"/>
            <w:tcBorders>
              <w:top w:val="nil"/>
              <w:left w:val="nil"/>
              <w:bottom w:val="single" w:sz="8" w:space="0" w:color="auto"/>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1072" w:type="dxa"/>
            <w:tcBorders>
              <w:top w:val="nil"/>
              <w:left w:val="nil"/>
              <w:bottom w:val="single" w:sz="8" w:space="0" w:color="auto"/>
              <w:right w:val="nil"/>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c>
          <w:tcPr>
            <w:tcW w:w="738" w:type="dxa"/>
            <w:tcBorders>
              <w:top w:val="nil"/>
              <w:left w:val="nil"/>
              <w:bottom w:val="single" w:sz="8" w:space="0" w:color="auto"/>
              <w:right w:val="single" w:sz="8" w:space="0" w:color="auto"/>
            </w:tcBorders>
            <w:shd w:val="clear" w:color="auto" w:fill="auto"/>
            <w:noWrap/>
            <w:vAlign w:val="bottom"/>
            <w:hideMark/>
          </w:tcPr>
          <w:p w:rsidR="00CE1662" w:rsidRPr="00124D4C" w:rsidRDefault="00CE1662" w:rsidP="00057B20">
            <w:pPr>
              <w:spacing w:after="0" w:line="240" w:lineRule="auto"/>
              <w:rPr>
                <w:rFonts w:ascii="Calibri" w:eastAsia="Times New Roman" w:hAnsi="Calibri" w:cs="Times New Roman"/>
                <w:color w:val="000000"/>
                <w:lang w:eastAsia="fr-FR"/>
              </w:rPr>
            </w:pPr>
            <w:r w:rsidRPr="00124D4C">
              <w:rPr>
                <w:rFonts w:ascii="Calibri" w:eastAsia="Times New Roman" w:hAnsi="Calibri" w:cs="Times New Roman"/>
                <w:color w:val="000000"/>
                <w:lang w:eastAsia="fr-FR"/>
              </w:rPr>
              <w:t> </w:t>
            </w:r>
          </w:p>
        </w:tc>
      </w:tr>
    </w:tbl>
    <w:p w:rsidR="00CE1662" w:rsidRPr="0033670D" w:rsidRDefault="00CE1662" w:rsidP="00CE1662">
      <w:r w:rsidRPr="0033670D">
        <w:rPr>
          <w:noProof/>
          <w:lang w:eastAsia="fr-FR"/>
        </w:rPr>
        <w:drawing>
          <wp:anchor distT="0" distB="0" distL="114300" distR="114300" simplePos="0" relativeHeight="251665408" behindDoc="1" locked="0" layoutInCell="1" allowOverlap="1">
            <wp:simplePos x="0" y="0"/>
            <wp:positionH relativeFrom="column">
              <wp:posOffset>213360</wp:posOffset>
            </wp:positionH>
            <wp:positionV relativeFrom="paragraph">
              <wp:posOffset>285115</wp:posOffset>
            </wp:positionV>
            <wp:extent cx="2312670" cy="2706370"/>
            <wp:effectExtent l="19050" t="0" r="0" b="0"/>
            <wp:wrapTight wrapText="bothSides">
              <wp:wrapPolygon edited="0">
                <wp:start x="-178" y="0"/>
                <wp:lineTo x="-178" y="21438"/>
                <wp:lineTo x="21529" y="21438"/>
                <wp:lineTo x="21529" y="0"/>
                <wp:lineTo x="-178" y="0"/>
              </wp:wrapPolygon>
            </wp:wrapTight>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312670" cy="2706370"/>
                    </a:xfrm>
                    <a:prstGeom prst="rect">
                      <a:avLst/>
                    </a:prstGeom>
                    <a:noFill/>
                    <a:ln w="9525">
                      <a:noFill/>
                      <a:miter lim="800000"/>
                      <a:headEnd/>
                      <a:tailEnd/>
                    </a:ln>
                  </pic:spPr>
                </pic:pic>
              </a:graphicData>
            </a:graphic>
          </wp:anchor>
        </w:drawing>
      </w:r>
      <w:r w:rsidRPr="0033670D">
        <w:tab/>
      </w:r>
      <w:r w:rsidRPr="0033670D">
        <w:tab/>
      </w:r>
      <w:r>
        <w:tab/>
      </w:r>
      <w:r>
        <w:tab/>
      </w:r>
      <w:r>
        <w:tab/>
      </w:r>
      <w:r>
        <w:tab/>
      </w:r>
      <w:r>
        <w:tab/>
      </w:r>
      <w:r>
        <w:tab/>
      </w:r>
      <w:r>
        <w:tab/>
        <w:t xml:space="preserve">        </w:t>
      </w:r>
      <w:r w:rsidRPr="0033670D">
        <w:t>Exemple dans Excel</w:t>
      </w:r>
    </w:p>
    <w:p w:rsidR="00CE1662" w:rsidRPr="00036337" w:rsidRDefault="00CE1662" w:rsidP="00CE1662"/>
    <w:p w:rsidR="00CE1662" w:rsidRDefault="00CE1662" w:rsidP="00CE1662">
      <w:pPr>
        <w:pStyle w:val="Titre1"/>
        <w:shd w:val="clear" w:color="auto" w:fill="FFFFFF"/>
        <w:jc w:val="center"/>
        <w:rPr>
          <w:rStyle w:val="field"/>
          <w:rFonts w:asciiTheme="minorHAnsi" w:hAnsiTheme="minorHAnsi" w:cs="Arial"/>
          <w:bCs w:val="0"/>
          <w:color w:val="1F2B50"/>
          <w:sz w:val="22"/>
          <w:szCs w:val="22"/>
        </w:rPr>
      </w:pPr>
    </w:p>
    <w:p w:rsidR="00CE1662" w:rsidRDefault="00CE1662" w:rsidP="00CE1662">
      <w:pPr>
        <w:pStyle w:val="Titre1"/>
        <w:shd w:val="clear" w:color="auto" w:fill="FFFFFF"/>
        <w:jc w:val="center"/>
        <w:rPr>
          <w:rStyle w:val="field"/>
          <w:rFonts w:asciiTheme="minorHAnsi" w:hAnsiTheme="minorHAnsi" w:cs="Arial"/>
          <w:bCs w:val="0"/>
          <w:color w:val="1F2B50"/>
          <w:sz w:val="22"/>
          <w:szCs w:val="22"/>
        </w:rPr>
      </w:pPr>
    </w:p>
    <w:p w:rsidR="00CE1662" w:rsidRDefault="00CE1662" w:rsidP="00CE1662">
      <w:pPr>
        <w:pStyle w:val="Titre1"/>
        <w:shd w:val="clear" w:color="auto" w:fill="FFFFFF"/>
        <w:jc w:val="center"/>
        <w:rPr>
          <w:rStyle w:val="field"/>
          <w:rFonts w:asciiTheme="minorHAnsi" w:hAnsiTheme="minorHAnsi" w:cs="Arial"/>
          <w:bCs w:val="0"/>
          <w:color w:val="1F2B50"/>
          <w:sz w:val="22"/>
          <w:szCs w:val="22"/>
        </w:rPr>
      </w:pPr>
    </w:p>
    <w:p w:rsidR="00CE1662" w:rsidRDefault="00CE1662" w:rsidP="00CE1662">
      <w:pPr>
        <w:pStyle w:val="Titre1"/>
        <w:shd w:val="clear" w:color="auto" w:fill="FFFFFF"/>
        <w:jc w:val="center"/>
        <w:rPr>
          <w:rStyle w:val="field"/>
          <w:rFonts w:asciiTheme="minorHAnsi" w:hAnsiTheme="minorHAnsi" w:cs="Arial"/>
          <w:bCs w:val="0"/>
          <w:color w:val="1F2B50"/>
          <w:sz w:val="22"/>
          <w:szCs w:val="22"/>
        </w:rPr>
      </w:pPr>
      <w:r>
        <w:rPr>
          <w:rFonts w:asciiTheme="minorHAnsi" w:hAnsiTheme="minorHAnsi" w:cs="Arial"/>
          <w:bCs w:val="0"/>
          <w:noProof/>
          <w:color w:val="1F2B50"/>
          <w:sz w:val="22"/>
          <w:szCs w:val="22"/>
          <w:lang w:eastAsia="fr-FR"/>
        </w:rPr>
        <w:drawing>
          <wp:anchor distT="0" distB="0" distL="114300" distR="114300" simplePos="0" relativeHeight="251669504" behindDoc="1" locked="0" layoutInCell="1" allowOverlap="1">
            <wp:simplePos x="0" y="0"/>
            <wp:positionH relativeFrom="column">
              <wp:posOffset>-3148330</wp:posOffset>
            </wp:positionH>
            <wp:positionV relativeFrom="paragraph">
              <wp:posOffset>972185</wp:posOffset>
            </wp:positionV>
            <wp:extent cx="3375025" cy="1960245"/>
            <wp:effectExtent l="19050" t="0" r="0" b="0"/>
            <wp:wrapTight wrapText="bothSides">
              <wp:wrapPolygon edited="0">
                <wp:start x="-122" y="0"/>
                <wp:lineTo x="-122" y="21411"/>
                <wp:lineTo x="21580" y="21411"/>
                <wp:lineTo x="21580" y="0"/>
                <wp:lineTo x="-122" y="0"/>
              </wp:wrapPolygon>
            </wp:wrapTight>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375025" cy="1960245"/>
                    </a:xfrm>
                    <a:prstGeom prst="rect">
                      <a:avLst/>
                    </a:prstGeom>
                    <a:noFill/>
                    <a:ln w="9525">
                      <a:noFill/>
                      <a:miter lim="800000"/>
                      <a:headEnd/>
                      <a:tailEnd/>
                    </a:ln>
                  </pic:spPr>
                </pic:pic>
              </a:graphicData>
            </a:graphic>
          </wp:anchor>
        </w:drawing>
      </w:r>
    </w:p>
    <w:p w:rsidR="00CE1662" w:rsidRDefault="00CE1662" w:rsidP="00CE1662">
      <w:pPr>
        <w:pStyle w:val="Titre1"/>
        <w:shd w:val="clear" w:color="auto" w:fill="FFFFFF"/>
        <w:rPr>
          <w:rStyle w:val="field"/>
          <w:rFonts w:asciiTheme="minorHAnsi" w:hAnsiTheme="minorHAnsi" w:cs="Arial"/>
          <w:bCs w:val="0"/>
          <w:color w:val="1F2B50"/>
          <w:sz w:val="22"/>
          <w:szCs w:val="22"/>
        </w:rPr>
      </w:pPr>
      <w:r>
        <w:rPr>
          <w:rStyle w:val="field"/>
          <w:rFonts w:asciiTheme="minorHAnsi" w:hAnsiTheme="minorHAnsi" w:cs="Arial"/>
          <w:bCs w:val="0"/>
          <w:color w:val="1F2B50"/>
          <w:sz w:val="22"/>
          <w:szCs w:val="22"/>
        </w:rPr>
        <w:t xml:space="preserve">Formulaire </w:t>
      </w:r>
    </w:p>
    <w:p w:rsidR="00CE1662" w:rsidRPr="006D608F" w:rsidRDefault="00CE1662" w:rsidP="00CE1662"/>
    <w:p w:rsidR="00CE1662" w:rsidRDefault="00CE1662" w:rsidP="00CE1662">
      <w:pPr>
        <w:pBdr>
          <w:top w:val="single" w:sz="4" w:space="1" w:color="auto"/>
          <w:left w:val="single" w:sz="4" w:space="4" w:color="auto"/>
          <w:bottom w:val="single" w:sz="4" w:space="1" w:color="auto"/>
          <w:right w:val="single" w:sz="4" w:space="1" w:color="auto"/>
        </w:pBdr>
      </w:pPr>
      <w:r>
        <w:t>PVHT  = Coût d'achat  + Marge brute</w:t>
      </w:r>
      <w:r w:rsidR="00355D65">
        <w:t xml:space="preserve"> (€)</w:t>
      </w:r>
    </w:p>
    <w:p w:rsidR="00CE1662" w:rsidRDefault="00CE1662" w:rsidP="00CE1662">
      <w:pPr>
        <w:pBdr>
          <w:top w:val="single" w:sz="4" w:space="1" w:color="auto"/>
          <w:left w:val="single" w:sz="4" w:space="4" w:color="auto"/>
          <w:bottom w:val="single" w:sz="4" w:space="1" w:color="auto"/>
          <w:right w:val="single" w:sz="4" w:space="4" w:color="auto"/>
        </w:pBdr>
        <w:rPr>
          <w:u w:val="single"/>
        </w:rPr>
      </w:pPr>
      <w:r>
        <w:t>Marge (€) = PVHT x Taux de marque</w:t>
      </w:r>
      <w:r w:rsidR="008B597F">
        <w:t xml:space="preserve"> (%)</w:t>
      </w:r>
      <w:r>
        <w:t xml:space="preserve"> </w:t>
      </w:r>
      <w:r w:rsidR="008B597F">
        <w:t xml:space="preserve">                   </w:t>
      </w:r>
      <w:r>
        <w:t xml:space="preserve">(Exemple : </w:t>
      </w:r>
      <w:r w:rsidRPr="006D608F">
        <w:rPr>
          <w:u w:val="single"/>
        </w:rPr>
        <w:t>20 € de marge si le PVHT est de 100 €))</w:t>
      </w:r>
    </w:p>
    <w:p w:rsidR="00CE1662" w:rsidRPr="00584199" w:rsidRDefault="008B597F" w:rsidP="00CE1662">
      <w:pPr>
        <w:pBdr>
          <w:top w:val="single" w:sz="4" w:space="1" w:color="auto"/>
          <w:left w:val="single" w:sz="4" w:space="4" w:color="auto"/>
          <w:bottom w:val="single" w:sz="4" w:space="1" w:color="auto"/>
          <w:right w:val="single" w:sz="4" w:space="4" w:color="auto"/>
        </w:pBdr>
      </w:pPr>
      <m:oMath>
        <m:r>
          <w:rPr>
            <w:rFonts w:ascii="Cambria Math" w:hAnsi="Cambria Math" w:cs="Cambria Math"/>
          </w:rPr>
          <m:t>PVHT</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PAHTX100</m:t>
            </m:r>
          </m:num>
          <m:den>
            <m:r>
              <m:rPr>
                <m:sty m:val="p"/>
              </m:rPr>
              <w:rPr>
                <w:rFonts w:ascii="Cambria Math" w:hAnsi="Cambria Math"/>
              </w:rPr>
              <m:t>(100-Taux de marque</m:t>
            </m:r>
          </m:den>
        </m:f>
        <m:r>
          <m:rPr>
            <m:sty m:val="p"/>
          </m:rPr>
          <w:rPr>
            <w:rFonts w:ascii="Cambria Math" w:hAnsi="Cambria Math"/>
          </w:rPr>
          <m:t>)</m:t>
        </m:r>
      </m:oMath>
      <w:r>
        <w:t xml:space="preserve">                                                                </w:t>
      </w:r>
    </w:p>
    <w:p w:rsidR="00CE1662" w:rsidRDefault="00613172" w:rsidP="00CE1662">
      <w:pPr>
        <w:pBdr>
          <w:top w:val="single" w:sz="4" w:space="1" w:color="auto"/>
          <w:left w:val="single" w:sz="4" w:space="4" w:color="auto"/>
          <w:bottom w:val="single" w:sz="4" w:space="1" w:color="auto"/>
          <w:right w:val="single" w:sz="4" w:space="4" w:color="auto"/>
        </w:pBdr>
      </w:pPr>
      <w:r>
        <w:rPr>
          <w:noProof/>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margin-left:256.35pt;margin-top:2.6pt;width:18.65pt;height:41.45pt;z-index:251672576"/>
        </w:pict>
      </w:r>
      <w:r>
        <w:rPr>
          <w:noProof/>
          <w:lang w:eastAsia="fr-FR"/>
        </w:rPr>
        <w:pict>
          <v:shape id="_x0000_s1029" type="#_x0000_t102" style="position:absolute;margin-left:-23.85pt;margin-top:2.6pt;width:18.65pt;height:41.45pt;z-index:251671552"/>
        </w:pict>
      </w:r>
      <w:r w:rsidR="00CE1662" w:rsidRPr="006D608F">
        <w:t>PVTTC = PVHT x 1.2</w:t>
      </w:r>
      <w:r w:rsidR="00CE1662">
        <w:t xml:space="preserve"> (si taux de TVA à 20 %) </w:t>
      </w:r>
      <w:r w:rsidR="00CE1662">
        <w:tab/>
      </w:r>
      <w:r w:rsidR="00CE1662">
        <w:tab/>
      </w:r>
      <w:r w:rsidR="00CE1662">
        <w:tab/>
        <w:t>PVTTC = PVHT X 1.055 (Si TVA à 5.5%)</w:t>
      </w:r>
    </w:p>
    <w:p w:rsidR="00CE1662" w:rsidRDefault="00CE1662" w:rsidP="00CE1662">
      <w:pPr>
        <w:pBdr>
          <w:top w:val="single" w:sz="4" w:space="1" w:color="auto"/>
          <w:left w:val="single" w:sz="4" w:space="4" w:color="auto"/>
          <w:bottom w:val="single" w:sz="4" w:space="1" w:color="auto"/>
          <w:right w:val="single" w:sz="4" w:space="4" w:color="auto"/>
        </w:pBdr>
      </w:pPr>
      <w:r>
        <w:t xml:space="preserve">d'où </w:t>
      </w:r>
      <m:oMath>
        <m:r>
          <w:rPr>
            <w:rFonts w:ascii="Cambria Math" w:hAnsi="Cambria Math"/>
          </w:rPr>
          <m:t xml:space="preserve">PVHT </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PVTTC</m:t>
            </m:r>
          </m:num>
          <m:den>
            <m:r>
              <m:rPr>
                <m:sty m:val="p"/>
              </m:rPr>
              <w:rPr>
                <w:rFonts w:ascii="Cambria Math" w:hAnsi="Cambria Math"/>
              </w:rPr>
              <m:t>1.2</m:t>
            </m:r>
          </m:den>
        </m:f>
      </m:oMath>
      <w:r>
        <w:tab/>
      </w:r>
      <w:r>
        <w:tab/>
      </w:r>
      <w:r>
        <w:tab/>
      </w:r>
      <w:r>
        <w:tab/>
      </w:r>
      <w:r>
        <w:tab/>
      </w:r>
      <w:r w:rsidR="008B597F">
        <w:t xml:space="preserve">                </w:t>
      </w:r>
      <w:r>
        <w:t>d'où</w:t>
      </w:r>
      <w:r w:rsidR="008B597F">
        <w:t xml:space="preserve"> </w:t>
      </w:r>
      <m:oMath>
        <m:r>
          <w:rPr>
            <w:rFonts w:ascii="Cambria Math" w:hAnsi="Cambria Math" w:cs="Cambria Math"/>
          </w:rPr>
          <m:t>PVHT</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PVHT</m:t>
            </m:r>
          </m:num>
          <m:den>
            <m:r>
              <m:rPr>
                <m:sty m:val="p"/>
              </m:rPr>
              <w:rPr>
                <w:rFonts w:ascii="Cambria Math" w:hAnsi="Cambria Math" w:cs="Cambria Math"/>
              </w:rPr>
              <m:t>1.055</m:t>
            </m:r>
          </m:den>
        </m:f>
      </m:oMath>
      <w:r w:rsidR="008B597F">
        <w:tab/>
        <w:t>PVPVTTC/1</w:t>
      </w:r>
    </w:p>
    <w:p w:rsidR="00CE1662" w:rsidRDefault="00CE1662" w:rsidP="00CE1662">
      <w:pPr>
        <w:pBdr>
          <w:top w:val="single" w:sz="4" w:space="1" w:color="auto"/>
          <w:left w:val="single" w:sz="4" w:space="4" w:color="auto"/>
          <w:bottom w:val="single" w:sz="4" w:space="1" w:color="auto"/>
          <w:right w:val="single" w:sz="4" w:space="4" w:color="auto"/>
        </w:pBdr>
      </w:pPr>
      <w:r>
        <w:t>PVTTC = PAHT x Coefficient multiplicateur</w:t>
      </w:r>
    </w:p>
    <w:p w:rsidR="00CE1662" w:rsidRDefault="008B597F" w:rsidP="00CE1662">
      <w:pPr>
        <w:pBdr>
          <w:top w:val="single" w:sz="4" w:space="1" w:color="auto"/>
          <w:left w:val="single" w:sz="4" w:space="4" w:color="auto"/>
          <w:bottom w:val="single" w:sz="4" w:space="1" w:color="auto"/>
          <w:right w:val="single" w:sz="4" w:space="4" w:color="auto"/>
        </w:pBdr>
      </w:pPr>
      <m:oMath>
        <m:r>
          <w:rPr>
            <w:rFonts w:ascii="Cambria Math" w:hAnsi="Cambria Math" w:cs="Cambria Math"/>
          </w:rPr>
          <m:t>PVHT</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PAHT    X  100</m:t>
            </m:r>
          </m:num>
          <m:den>
            <m:r>
              <m:rPr>
                <m:sty m:val="p"/>
              </m:rPr>
              <w:rPr>
                <w:rFonts w:ascii="Cambria Math" w:hAnsi="Cambria Math" w:cs="Cambria Math"/>
              </w:rPr>
              <m:t xml:space="preserve">   (100-Taux de marque)</m:t>
            </m:r>
          </m:den>
        </m:f>
      </m:oMath>
      <w:r w:rsidR="00CE1662">
        <w:tab/>
      </w:r>
      <w:r w:rsidR="0067122E">
        <w:t xml:space="preserve">     </w:t>
      </w:r>
      <w:r w:rsidR="00CE1662">
        <w:tab/>
      </w:r>
      <m:oMath>
        <m:r>
          <w:rPr>
            <w:rFonts w:ascii="Cambria Math" w:hAnsi="Cambria Math"/>
          </w:rPr>
          <m:t xml:space="preserve">                                   </m:t>
        </m:r>
        <m:r>
          <w:rPr>
            <w:rFonts w:ascii="Cambria Math" w:hAnsi="Cambria Math" w:cs="Cambria Math"/>
          </w:rPr>
          <m:t>PVTTC</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PAHT X (100+TVA)</m:t>
            </m:r>
          </m:num>
          <m:den>
            <m:r>
              <m:rPr>
                <m:sty m:val="p"/>
              </m:rPr>
              <w:rPr>
                <w:rFonts w:ascii="Cambria Math" w:hAnsi="Cambria Math" w:cs="Cambria Math"/>
              </w:rPr>
              <m:t>(100-Taux de marque)</m:t>
            </m:r>
          </m:den>
        </m:f>
      </m:oMath>
      <w:r w:rsidR="0067122E">
        <w:t xml:space="preserve"> </w:t>
      </w:r>
    </w:p>
    <w:p w:rsidR="00CE1662" w:rsidRPr="0067122E" w:rsidRDefault="0067122E" w:rsidP="00CE1662">
      <w:pPr>
        <w:pBdr>
          <w:top w:val="single" w:sz="4" w:space="1" w:color="auto"/>
          <w:left w:val="single" w:sz="4" w:space="4" w:color="auto"/>
          <w:bottom w:val="single" w:sz="4" w:space="1" w:color="auto"/>
          <w:right w:val="single" w:sz="4" w:space="4" w:color="auto"/>
        </w:pBdr>
        <w:rPr>
          <w:i/>
          <w:sz w:val="20"/>
          <w:szCs w:val="20"/>
        </w:rPr>
      </w:pPr>
      <w:r w:rsidRPr="0067122E">
        <w:rPr>
          <w:i/>
          <w:sz w:val="20"/>
          <w:szCs w:val="20"/>
        </w:rPr>
        <w:t xml:space="preserve">Exemple : </w:t>
      </w:r>
      <w:r>
        <w:rPr>
          <w:i/>
          <w:sz w:val="20"/>
          <w:szCs w:val="20"/>
        </w:rPr>
        <w:t xml:space="preserve">Si PAHT = 72€, Taux de marque 30 %,  et TVA 20% alors </w:t>
      </w:r>
      <m:oMath>
        <m:r>
          <w:rPr>
            <w:rFonts w:ascii="Cambria Math" w:hAnsi="Cambria Math"/>
            <w:sz w:val="20"/>
            <w:szCs w:val="20"/>
          </w:rPr>
          <m:t>PVTTC</m:t>
        </m:r>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cs="Cambria Math"/>
                <w:sz w:val="20"/>
                <w:szCs w:val="20"/>
              </w:rPr>
              <m:t xml:space="preserve">72 x </m:t>
            </m:r>
            <m:d>
              <m:dPr>
                <m:ctrlPr>
                  <w:rPr>
                    <w:rFonts w:ascii="Cambria Math" w:hAnsi="Cambria Math" w:cs="Cambria Math"/>
                    <w:sz w:val="20"/>
                    <w:szCs w:val="20"/>
                  </w:rPr>
                </m:ctrlPr>
              </m:dPr>
              <m:e>
                <m:r>
                  <m:rPr>
                    <m:sty m:val="p"/>
                  </m:rPr>
                  <w:rPr>
                    <w:rFonts w:ascii="Cambria Math" w:hAnsi="Cambria Math" w:cs="Cambria Math"/>
                    <w:sz w:val="20"/>
                    <w:szCs w:val="20"/>
                  </w:rPr>
                  <m:t>100+20</m:t>
                </m:r>
              </m:e>
            </m:d>
          </m:num>
          <m:den>
            <m:r>
              <m:rPr>
                <m:sty m:val="p"/>
              </m:rPr>
              <w:rPr>
                <w:rFonts w:ascii="Cambria Math" w:hAnsi="Cambria Math"/>
                <w:sz w:val="20"/>
                <w:szCs w:val="20"/>
              </w:rPr>
              <m:t>(100-30)</m:t>
            </m:r>
          </m:den>
        </m:f>
      </m:oMath>
      <w:r>
        <w:rPr>
          <w:i/>
          <w:sz w:val="20"/>
          <w:szCs w:val="20"/>
        </w:rPr>
        <w:t xml:space="preserve"> </w:t>
      </w:r>
      <m:oMath>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cs="Cambria Math"/>
                <w:sz w:val="20"/>
                <w:szCs w:val="20"/>
              </w:rPr>
              <m:t>72 x 120</m:t>
            </m:r>
          </m:num>
          <m:den>
            <m:r>
              <m:rPr>
                <m:sty m:val="p"/>
              </m:rPr>
              <w:rPr>
                <w:rFonts w:ascii="Cambria Math" w:hAnsi="Cambria Math"/>
                <w:sz w:val="20"/>
                <w:szCs w:val="20"/>
              </w:rPr>
              <m:t>70</m:t>
            </m:r>
          </m:den>
        </m:f>
      </m:oMath>
    </w:p>
    <w:p w:rsidR="00CE1662" w:rsidRDefault="00CE1662" w:rsidP="00CE1662">
      <w:pPr>
        <w:pStyle w:val="Titre1"/>
        <w:shd w:val="clear" w:color="auto" w:fill="FFFFFF"/>
        <w:jc w:val="center"/>
        <w:rPr>
          <w:rStyle w:val="field"/>
          <w:rFonts w:asciiTheme="minorHAnsi" w:hAnsiTheme="minorHAnsi" w:cs="Arial"/>
          <w:bCs w:val="0"/>
          <w:color w:val="1F2B50"/>
          <w:sz w:val="22"/>
          <w:szCs w:val="22"/>
        </w:rPr>
      </w:pPr>
    </w:p>
    <w:p w:rsidR="00CE1662" w:rsidRPr="00584199" w:rsidRDefault="00CE1662" w:rsidP="00CE1662">
      <w:pPr>
        <w:pStyle w:val="Titre1"/>
        <w:shd w:val="clear" w:color="auto" w:fill="FFFFFF"/>
        <w:jc w:val="center"/>
        <w:rPr>
          <w:rStyle w:val="field"/>
          <w:rFonts w:asciiTheme="minorHAnsi" w:hAnsiTheme="minorHAnsi" w:cs="Arial"/>
          <w:bCs w:val="0"/>
          <w:color w:val="1F2B50"/>
          <w:sz w:val="22"/>
          <w:szCs w:val="22"/>
        </w:rPr>
      </w:pPr>
      <w:r>
        <w:rPr>
          <w:rStyle w:val="field"/>
          <w:rFonts w:asciiTheme="minorHAnsi" w:hAnsiTheme="minorHAnsi" w:cs="Arial"/>
          <w:bCs w:val="0"/>
          <w:color w:val="1F2B50"/>
          <w:sz w:val="22"/>
          <w:szCs w:val="22"/>
        </w:rPr>
        <w:t>Document 2</w:t>
      </w:r>
    </w:p>
    <w:p w:rsidR="00CE1662" w:rsidRPr="00036337" w:rsidRDefault="00CE1662" w:rsidP="00CE1662">
      <w:pPr>
        <w:pStyle w:val="Titre1"/>
        <w:shd w:val="clear" w:color="auto" w:fill="FFFFFF"/>
        <w:jc w:val="center"/>
        <w:rPr>
          <w:rFonts w:asciiTheme="minorHAnsi" w:hAnsiTheme="minorHAnsi" w:cs="Arial"/>
          <w:bCs w:val="0"/>
          <w:color w:val="1F2B50"/>
          <w:sz w:val="24"/>
          <w:szCs w:val="24"/>
          <w:u w:val="single"/>
        </w:rPr>
      </w:pPr>
      <w:r w:rsidRPr="00036337">
        <w:rPr>
          <w:rStyle w:val="field"/>
          <w:rFonts w:asciiTheme="minorHAnsi" w:hAnsiTheme="minorHAnsi" w:cs="Arial"/>
          <w:bCs w:val="0"/>
          <w:color w:val="1F2B50"/>
          <w:sz w:val="24"/>
          <w:szCs w:val="24"/>
          <w:u w:val="single"/>
        </w:rPr>
        <w:t>Revente à perte : Quelles sont les obligations du vendeur ?</w:t>
      </w:r>
    </w:p>
    <w:p w:rsidR="00CE1662" w:rsidRPr="001F4F9A" w:rsidRDefault="00CE1662" w:rsidP="00CE1662">
      <w:pPr>
        <w:shd w:val="clear" w:color="auto" w:fill="FFFFFF"/>
        <w:rPr>
          <w:rFonts w:cs="Segoe UI"/>
          <w:color w:val="212529"/>
        </w:rPr>
      </w:pPr>
      <w:r w:rsidRPr="001F4F9A">
        <w:rPr>
          <w:rFonts w:cs="Segoe UI"/>
          <w:color w:val="212529"/>
        </w:rPr>
        <w:t>18/11/2019</w:t>
      </w:r>
    </w:p>
    <w:p w:rsidR="00CE1662" w:rsidRDefault="00CE1662" w:rsidP="00CE1662">
      <w:pPr>
        <w:pStyle w:val="NormalWeb"/>
        <w:shd w:val="clear" w:color="auto" w:fill="FFFFFF"/>
        <w:spacing w:before="0" w:beforeAutospacing="0"/>
        <w:rPr>
          <w:rFonts w:asciiTheme="minorHAnsi" w:hAnsiTheme="minorHAnsi" w:cs="Segoe UI"/>
          <w:color w:val="212529"/>
          <w:sz w:val="22"/>
          <w:szCs w:val="22"/>
        </w:rPr>
      </w:pPr>
    </w:p>
    <w:p w:rsidR="00CE1662" w:rsidRPr="001F4F9A" w:rsidRDefault="00CE1662" w:rsidP="00CE1662">
      <w:pPr>
        <w:pStyle w:val="NormalWeb"/>
        <w:shd w:val="clear" w:color="auto" w:fill="FFFFFF"/>
        <w:spacing w:before="0" w:beforeAutospacing="0"/>
        <w:rPr>
          <w:rFonts w:asciiTheme="minorHAnsi" w:hAnsiTheme="minorHAnsi" w:cs="Segoe UI"/>
          <w:color w:val="212529"/>
          <w:sz w:val="22"/>
          <w:szCs w:val="22"/>
        </w:rPr>
      </w:pPr>
      <w:r>
        <w:rPr>
          <w:rFonts w:asciiTheme="minorHAnsi" w:hAnsiTheme="minorHAnsi" w:cs="Segoe UI"/>
          <w:noProof/>
          <w:color w:val="212529"/>
          <w:sz w:val="22"/>
          <w:szCs w:val="22"/>
        </w:rPr>
        <w:drawing>
          <wp:anchor distT="0" distB="0" distL="114300" distR="114300" simplePos="0" relativeHeight="251664384" behindDoc="1" locked="0" layoutInCell="1" allowOverlap="1">
            <wp:simplePos x="0" y="0"/>
            <wp:positionH relativeFrom="column">
              <wp:posOffset>4928235</wp:posOffset>
            </wp:positionH>
            <wp:positionV relativeFrom="paragraph">
              <wp:posOffset>180340</wp:posOffset>
            </wp:positionV>
            <wp:extent cx="984250" cy="857250"/>
            <wp:effectExtent l="19050" t="0" r="6350" b="0"/>
            <wp:wrapTight wrapText="bothSides">
              <wp:wrapPolygon edited="0">
                <wp:start x="12124" y="0"/>
                <wp:lineTo x="-418" y="2880"/>
                <wp:lineTo x="-418" y="4320"/>
                <wp:lineTo x="2926" y="7680"/>
                <wp:lineTo x="0" y="9120"/>
                <wp:lineTo x="-418" y="15840"/>
                <wp:lineTo x="7943" y="21120"/>
                <wp:lineTo x="8361" y="21120"/>
                <wp:lineTo x="10870" y="21120"/>
                <wp:lineTo x="12960" y="21120"/>
                <wp:lineTo x="19649" y="16800"/>
                <wp:lineTo x="19231" y="15360"/>
                <wp:lineTo x="21321" y="12960"/>
                <wp:lineTo x="21739" y="11040"/>
                <wp:lineTo x="21321" y="7200"/>
                <wp:lineTo x="17559" y="2400"/>
                <wp:lineTo x="14632" y="0"/>
                <wp:lineTo x="12124" y="0"/>
              </wp:wrapPolygon>
            </wp:wrapTight>
            <wp:docPr id="3" name="il_fi" descr="http://www.wakouwa-collection.com/images/p/pri/prix-ch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kouwa-collection.com/images/p/pri/prix-choc.gif"/>
                    <pic:cNvPicPr>
                      <a:picLocks noChangeAspect="1" noChangeArrowheads="1"/>
                    </pic:cNvPicPr>
                  </pic:nvPicPr>
                  <pic:blipFill>
                    <a:blip r:embed="rId14" cstate="print"/>
                    <a:srcRect/>
                    <a:stretch>
                      <a:fillRect/>
                    </a:stretch>
                  </pic:blipFill>
                  <pic:spPr bwMode="auto">
                    <a:xfrm>
                      <a:off x="0" y="0"/>
                      <a:ext cx="984250" cy="857250"/>
                    </a:xfrm>
                    <a:prstGeom prst="rect">
                      <a:avLst/>
                    </a:prstGeom>
                    <a:noFill/>
                    <a:ln w="9525">
                      <a:noFill/>
                      <a:miter lim="800000"/>
                      <a:headEnd/>
                      <a:tailEnd/>
                    </a:ln>
                  </pic:spPr>
                </pic:pic>
              </a:graphicData>
            </a:graphic>
          </wp:anchor>
        </w:drawing>
      </w:r>
      <w:r w:rsidRPr="001F4F9A">
        <w:rPr>
          <w:rFonts w:asciiTheme="minorHAnsi" w:hAnsiTheme="minorHAnsi" w:cs="Segoe UI"/>
          <w:color w:val="212529"/>
          <w:sz w:val="22"/>
          <w:szCs w:val="22"/>
        </w:rPr>
        <w:t>La revente à perte est une pratique commerciale interdite. La règlementation définit en la matière les conditions dans lesquelles les commerçants doivent vendre leurs produits.</w:t>
      </w:r>
    </w:p>
    <w:p w:rsidR="00CE1662" w:rsidRPr="003427B6" w:rsidRDefault="00613172" w:rsidP="00CE1662">
      <w:pPr>
        <w:pStyle w:val="spacer-sm"/>
        <w:shd w:val="clear" w:color="auto" w:fill="FFFFFF"/>
        <w:spacing w:before="0" w:beforeAutospacing="0"/>
        <w:rPr>
          <w:rFonts w:asciiTheme="minorHAnsi" w:hAnsiTheme="minorHAnsi" w:cs="Segoe UI"/>
          <w:sz w:val="22"/>
          <w:szCs w:val="22"/>
        </w:rPr>
      </w:pPr>
      <w:hyperlink r:id="rId15" w:tgtFrame="_blank" w:history="1">
        <w:r w:rsidR="00CE1662" w:rsidRPr="003427B6">
          <w:rPr>
            <w:rStyle w:val="Lienhypertexte"/>
            <w:rFonts w:asciiTheme="minorHAnsi" w:hAnsiTheme="minorHAnsi" w:cs="Segoe UI"/>
            <w:sz w:val="22"/>
            <w:szCs w:val="22"/>
          </w:rPr>
          <w:t>Revente à perte : Quelles sont les obligations du vendeur ?</w:t>
        </w:r>
      </w:hyperlink>
      <w:r w:rsidR="00CE1662" w:rsidRPr="003427B6">
        <w:rPr>
          <w:rFonts w:asciiTheme="minorHAnsi" w:hAnsiTheme="minorHAnsi" w:cs="Segoe UI"/>
          <w:sz w:val="22"/>
          <w:szCs w:val="22"/>
        </w:rPr>
        <w:t> </w:t>
      </w:r>
    </w:p>
    <w:p w:rsidR="00CE1662" w:rsidRPr="001F4F9A" w:rsidRDefault="00CE1662" w:rsidP="00CE1662">
      <w:pPr>
        <w:pStyle w:val="Titre2"/>
        <w:shd w:val="clear" w:color="auto" w:fill="FFFFFF"/>
        <w:rPr>
          <w:rFonts w:asciiTheme="minorHAnsi" w:hAnsiTheme="minorHAnsi" w:cs="Arial"/>
          <w:b w:val="0"/>
          <w:bCs w:val="0"/>
          <w:color w:val="407CA8"/>
          <w:sz w:val="22"/>
          <w:szCs w:val="22"/>
        </w:rPr>
      </w:pPr>
      <w:r w:rsidRPr="001F4F9A">
        <w:rPr>
          <w:rFonts w:asciiTheme="minorHAnsi" w:hAnsiTheme="minorHAnsi" w:cs="Arial"/>
          <w:b w:val="0"/>
          <w:bCs w:val="0"/>
          <w:color w:val="407CA8"/>
          <w:sz w:val="22"/>
          <w:szCs w:val="22"/>
        </w:rPr>
        <w:t>Quel est le principe ?</w:t>
      </w:r>
    </w:p>
    <w:p w:rsidR="00CE1662" w:rsidRPr="00036337" w:rsidRDefault="00CE1662" w:rsidP="00CE166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jc w:val="center"/>
        <w:rPr>
          <w:rFonts w:asciiTheme="minorHAnsi" w:hAnsiTheme="minorHAnsi" w:cs="Segoe UI"/>
          <w:b/>
          <w:sz w:val="22"/>
          <w:szCs w:val="22"/>
        </w:rPr>
      </w:pPr>
      <w:r w:rsidRPr="00036337">
        <w:rPr>
          <w:rFonts w:asciiTheme="minorHAnsi" w:hAnsiTheme="minorHAnsi" w:cs="Segoe UI"/>
          <w:b/>
          <w:sz w:val="22"/>
          <w:szCs w:val="22"/>
        </w:rPr>
        <w:t>Il est interdit de revendre ou d'annoncer la revente d’un produit en l’état au-dessous de son prix d'achat effectif, notion qui détermine le seuil de revente à perte.</w:t>
      </w:r>
    </w:p>
    <w:p w:rsidR="00CE1662" w:rsidRPr="001F4F9A" w:rsidRDefault="00CE1662" w:rsidP="00CE1662">
      <w:pPr>
        <w:pStyle w:val="NormalWeb"/>
        <w:shd w:val="clear" w:color="auto" w:fill="FFFFFF"/>
        <w:spacing w:before="0" w:beforeAutospacing="0"/>
        <w:rPr>
          <w:rFonts w:asciiTheme="minorHAnsi" w:hAnsiTheme="minorHAnsi" w:cs="Segoe UI"/>
          <w:color w:val="212529"/>
          <w:sz w:val="22"/>
          <w:szCs w:val="22"/>
        </w:rPr>
      </w:pPr>
      <w:r w:rsidRPr="001F4F9A">
        <w:rPr>
          <w:rFonts w:asciiTheme="minorHAnsi" w:hAnsiTheme="minorHAnsi" w:cs="Segoe UI"/>
          <w:color w:val="212529"/>
          <w:sz w:val="22"/>
          <w:szCs w:val="22"/>
        </w:rPr>
        <w:t xml:space="preserve">Le prix d'achat effectif est le </w:t>
      </w:r>
      <w:r w:rsidRPr="003427B6">
        <w:rPr>
          <w:rFonts w:asciiTheme="minorHAnsi" w:hAnsiTheme="minorHAnsi" w:cs="Segoe UI"/>
          <w:b/>
          <w:color w:val="212529"/>
          <w:sz w:val="22"/>
          <w:szCs w:val="22"/>
        </w:rPr>
        <w:t>prix unitaire net</w:t>
      </w:r>
      <w:r w:rsidRPr="001F4F9A">
        <w:rPr>
          <w:rFonts w:asciiTheme="minorHAnsi" w:hAnsiTheme="minorHAnsi" w:cs="Segoe UI"/>
          <w:color w:val="212529"/>
          <w:sz w:val="22"/>
          <w:szCs w:val="22"/>
        </w:rPr>
        <w:t xml:space="preserve"> f</w:t>
      </w:r>
      <w:r>
        <w:rPr>
          <w:rFonts w:asciiTheme="minorHAnsi" w:hAnsiTheme="minorHAnsi" w:cs="Segoe UI"/>
          <w:color w:val="212529"/>
          <w:sz w:val="22"/>
          <w:szCs w:val="22"/>
        </w:rPr>
        <w:t xml:space="preserve">igurant sur la facture d'achat, </w:t>
      </w:r>
      <w:r w:rsidRPr="001F4F9A">
        <w:rPr>
          <w:rFonts w:asciiTheme="minorHAnsi" w:hAnsiTheme="minorHAnsi" w:cs="Segoe UI"/>
          <w:color w:val="212529"/>
          <w:sz w:val="22"/>
          <w:szCs w:val="22"/>
        </w:rPr>
        <w:t>minoré du montant de l'ensemble des autres avantages financiers consentis par le vendeur exprimé en pourcentage du prix unitaire net du produit et majoré des taxes sur le chiffre d'affaires, des taxes spécifiques afférentes à cette revente et du prix du transport.</w:t>
      </w:r>
    </w:p>
    <w:p w:rsidR="00CE1662" w:rsidRPr="001F4F9A" w:rsidRDefault="00CE1662" w:rsidP="00CE1662">
      <w:pPr>
        <w:pStyle w:val="Titre2"/>
        <w:shd w:val="clear" w:color="auto" w:fill="FFFFFF"/>
        <w:rPr>
          <w:rFonts w:asciiTheme="minorHAnsi" w:hAnsiTheme="minorHAnsi" w:cs="Arial"/>
          <w:b w:val="0"/>
          <w:bCs w:val="0"/>
          <w:color w:val="407CA8"/>
          <w:sz w:val="22"/>
          <w:szCs w:val="22"/>
        </w:rPr>
      </w:pPr>
      <w:r w:rsidRPr="001F4F9A">
        <w:rPr>
          <w:rFonts w:asciiTheme="minorHAnsi" w:hAnsiTheme="minorHAnsi" w:cs="Arial"/>
          <w:b w:val="0"/>
          <w:bCs w:val="0"/>
          <w:color w:val="407CA8"/>
          <w:sz w:val="22"/>
          <w:szCs w:val="22"/>
        </w:rPr>
        <w:t>Quelles sont les exceptions ?</w:t>
      </w:r>
    </w:p>
    <w:p w:rsidR="00CE1662" w:rsidRPr="001F4F9A" w:rsidRDefault="00CE1662" w:rsidP="00CE1662">
      <w:pPr>
        <w:pStyle w:val="NormalWeb"/>
        <w:shd w:val="clear" w:color="auto" w:fill="FFFFFF"/>
        <w:spacing w:before="0" w:beforeAutospacing="0"/>
        <w:rPr>
          <w:rFonts w:asciiTheme="minorHAnsi" w:hAnsiTheme="minorHAnsi" w:cs="Segoe UI"/>
          <w:color w:val="212529"/>
          <w:sz w:val="22"/>
          <w:szCs w:val="22"/>
        </w:rPr>
      </w:pPr>
      <w:r w:rsidRPr="001F4F9A">
        <w:rPr>
          <w:rFonts w:asciiTheme="minorHAnsi" w:hAnsiTheme="minorHAnsi" w:cs="Segoe UI"/>
          <w:color w:val="212529"/>
          <w:sz w:val="22"/>
          <w:szCs w:val="22"/>
        </w:rPr>
        <w:t>Il existe 7 exceptions à cette interdiction :</w:t>
      </w:r>
    </w:p>
    <w:p w:rsidR="00CE1662" w:rsidRPr="001F4F9A" w:rsidRDefault="00CE1662" w:rsidP="00CE1662">
      <w:pPr>
        <w:numPr>
          <w:ilvl w:val="0"/>
          <w:numId w:val="1"/>
        </w:numPr>
        <w:shd w:val="clear" w:color="auto" w:fill="FFFFFF"/>
        <w:spacing w:before="100" w:beforeAutospacing="1" w:after="100" w:afterAutospacing="1" w:line="240" w:lineRule="auto"/>
        <w:rPr>
          <w:rFonts w:cs="Segoe UI"/>
          <w:color w:val="212529"/>
        </w:rPr>
      </w:pPr>
      <w:r w:rsidRPr="001F4F9A">
        <w:rPr>
          <w:rFonts w:cs="Segoe UI"/>
          <w:color w:val="212529"/>
        </w:rPr>
        <w:t>ventes volontaires ou forcées motivées par la cessation ou le changement d’une activité commerciale ;</w:t>
      </w:r>
    </w:p>
    <w:p w:rsidR="00CE1662" w:rsidRPr="001F4F9A" w:rsidRDefault="00CE1662" w:rsidP="00CE1662">
      <w:pPr>
        <w:numPr>
          <w:ilvl w:val="0"/>
          <w:numId w:val="1"/>
        </w:numPr>
        <w:shd w:val="clear" w:color="auto" w:fill="FFFFFF"/>
        <w:spacing w:before="100" w:beforeAutospacing="1" w:after="100" w:afterAutospacing="1" w:line="240" w:lineRule="auto"/>
        <w:rPr>
          <w:rFonts w:cs="Segoe UI"/>
          <w:color w:val="212529"/>
        </w:rPr>
      </w:pPr>
      <w:r w:rsidRPr="001F4F9A">
        <w:rPr>
          <w:rFonts w:cs="Segoe UI"/>
          <w:color w:val="212529"/>
        </w:rPr>
        <w:t>fins de saisons ou entre deux saisons de vente ;</w:t>
      </w:r>
    </w:p>
    <w:p w:rsidR="00CE1662" w:rsidRPr="001F4F9A" w:rsidRDefault="00CE1662" w:rsidP="00CE1662">
      <w:pPr>
        <w:numPr>
          <w:ilvl w:val="0"/>
          <w:numId w:val="1"/>
        </w:numPr>
        <w:shd w:val="clear" w:color="auto" w:fill="FFFFFF"/>
        <w:spacing w:before="100" w:beforeAutospacing="1" w:after="100" w:afterAutospacing="1" w:line="240" w:lineRule="auto"/>
        <w:rPr>
          <w:rFonts w:cs="Segoe UI"/>
          <w:color w:val="212529"/>
        </w:rPr>
      </w:pPr>
      <w:r w:rsidRPr="001F4F9A">
        <w:rPr>
          <w:rFonts w:cs="Segoe UI"/>
          <w:color w:val="212529"/>
        </w:rPr>
        <w:t>obsolescence technique ou produits démodés ;</w:t>
      </w:r>
    </w:p>
    <w:p w:rsidR="00CE1662" w:rsidRPr="001F4F9A" w:rsidRDefault="00CE1662" w:rsidP="00CE1662">
      <w:pPr>
        <w:numPr>
          <w:ilvl w:val="0"/>
          <w:numId w:val="1"/>
        </w:numPr>
        <w:shd w:val="clear" w:color="auto" w:fill="FFFFFF"/>
        <w:spacing w:before="100" w:beforeAutospacing="1" w:after="100" w:afterAutospacing="1" w:line="240" w:lineRule="auto"/>
        <w:rPr>
          <w:rFonts w:cs="Segoe UI"/>
          <w:color w:val="212529"/>
        </w:rPr>
      </w:pPr>
      <w:r w:rsidRPr="001F4F9A">
        <w:rPr>
          <w:rFonts w:cs="Segoe UI"/>
          <w:color w:val="212529"/>
        </w:rPr>
        <w:t>réapprovisionnement à la baisse ;</w:t>
      </w:r>
    </w:p>
    <w:p w:rsidR="00CE1662" w:rsidRPr="001F4F9A" w:rsidRDefault="00CE1662" w:rsidP="00CE1662">
      <w:pPr>
        <w:numPr>
          <w:ilvl w:val="0"/>
          <w:numId w:val="1"/>
        </w:numPr>
        <w:shd w:val="clear" w:color="auto" w:fill="FFFFFF"/>
        <w:spacing w:before="100" w:beforeAutospacing="1" w:after="100" w:afterAutospacing="1" w:line="240" w:lineRule="auto"/>
        <w:rPr>
          <w:rFonts w:cs="Segoe UI"/>
          <w:color w:val="212529"/>
        </w:rPr>
      </w:pPr>
      <w:r w:rsidRPr="001F4F9A">
        <w:rPr>
          <w:rFonts w:cs="Segoe UI"/>
          <w:color w:val="212529"/>
        </w:rPr>
        <w:t>alignement sur un prix plus bas légalement pratiqué dans la même zone d'activité par les magasins dont la surface de vente n'excède pas 300 m2 pour les produits alimentaires et 1000 m2 pour les produits non alimentaires ;</w:t>
      </w:r>
    </w:p>
    <w:p w:rsidR="00CE1662" w:rsidRPr="001F4F9A" w:rsidRDefault="00CE1662" w:rsidP="00CE1662">
      <w:pPr>
        <w:numPr>
          <w:ilvl w:val="0"/>
          <w:numId w:val="1"/>
        </w:numPr>
        <w:shd w:val="clear" w:color="auto" w:fill="FFFFFF"/>
        <w:spacing w:before="100" w:beforeAutospacing="1" w:after="100" w:afterAutospacing="1" w:line="240" w:lineRule="auto"/>
        <w:rPr>
          <w:rFonts w:cs="Segoe UI"/>
          <w:color w:val="212529"/>
        </w:rPr>
      </w:pPr>
      <w:r w:rsidRPr="001F4F9A">
        <w:rPr>
          <w:rFonts w:cs="Segoe UI"/>
          <w:color w:val="212529"/>
        </w:rPr>
        <w:t>produits périssables menacés d'altération rapide ;</w:t>
      </w:r>
    </w:p>
    <w:p w:rsidR="00CE1662" w:rsidRPr="001F4F9A" w:rsidRDefault="00CE1662" w:rsidP="00CE1662">
      <w:pPr>
        <w:numPr>
          <w:ilvl w:val="0"/>
          <w:numId w:val="1"/>
        </w:numPr>
        <w:shd w:val="clear" w:color="auto" w:fill="FFFFFF"/>
        <w:spacing w:before="100" w:beforeAutospacing="1" w:after="100" w:afterAutospacing="1" w:line="240" w:lineRule="auto"/>
        <w:rPr>
          <w:rFonts w:cs="Segoe UI"/>
          <w:color w:val="212529"/>
        </w:rPr>
      </w:pPr>
      <w:r w:rsidRPr="001F4F9A">
        <w:rPr>
          <w:rFonts w:cs="Segoe UI"/>
          <w:color w:val="212529"/>
        </w:rPr>
        <w:t>produits soldés mentionnés à l'article L. 310-3 du Code de commerce.</w:t>
      </w:r>
    </w:p>
    <w:p w:rsidR="00CE1662" w:rsidRPr="001F4F9A" w:rsidRDefault="00CE1662" w:rsidP="00CE1662">
      <w:pPr>
        <w:pStyle w:val="Titre2"/>
        <w:shd w:val="clear" w:color="auto" w:fill="FFFFFF"/>
        <w:rPr>
          <w:rFonts w:asciiTheme="minorHAnsi" w:hAnsiTheme="minorHAnsi" w:cs="Arial"/>
          <w:b w:val="0"/>
          <w:bCs w:val="0"/>
          <w:color w:val="407CA8"/>
          <w:sz w:val="22"/>
          <w:szCs w:val="22"/>
        </w:rPr>
      </w:pPr>
      <w:r w:rsidRPr="001F4F9A">
        <w:rPr>
          <w:rFonts w:asciiTheme="minorHAnsi" w:hAnsiTheme="minorHAnsi" w:cs="Arial"/>
          <w:b w:val="0"/>
          <w:bCs w:val="0"/>
          <w:color w:val="407CA8"/>
          <w:sz w:val="22"/>
          <w:szCs w:val="22"/>
        </w:rPr>
        <w:t>Quelles sont les sanctions ?</w:t>
      </w:r>
    </w:p>
    <w:p w:rsidR="00CE1662" w:rsidRPr="001F4F9A" w:rsidRDefault="00CE1662" w:rsidP="00CE1662">
      <w:pPr>
        <w:pStyle w:val="NormalWeb"/>
        <w:shd w:val="clear" w:color="auto" w:fill="FFFFFF"/>
        <w:spacing w:before="0" w:beforeAutospacing="0"/>
        <w:rPr>
          <w:rFonts w:asciiTheme="minorHAnsi" w:hAnsiTheme="minorHAnsi" w:cs="Segoe UI"/>
          <w:color w:val="212529"/>
          <w:sz w:val="22"/>
          <w:szCs w:val="22"/>
        </w:rPr>
      </w:pPr>
      <w:r w:rsidRPr="001F4F9A">
        <w:rPr>
          <w:rFonts w:asciiTheme="minorHAnsi" w:hAnsiTheme="minorHAnsi" w:cs="Segoe UI"/>
          <w:color w:val="212529"/>
          <w:sz w:val="22"/>
          <w:szCs w:val="22"/>
        </w:rPr>
        <w:t>Les manquements aux dispositions relatives à la revente à perte sont des délits punis d'une amende de 75 000 euros maximum pour la personne physique et de 375 000 euros maximum pour la personne morale. Cette amende peut être portée à la moitié des dépenses de publicité dans le cas où une annonce publicitaire, quel qu'en soit le support, fait état d'un prix inférieur au prix d'achat effectif.</w:t>
      </w:r>
    </w:p>
    <w:p w:rsidR="00CE1662" w:rsidRPr="001F4F9A" w:rsidRDefault="00CE1662" w:rsidP="00CE1662">
      <w:pPr>
        <w:pStyle w:val="NormalWeb"/>
        <w:shd w:val="clear" w:color="auto" w:fill="FFFFFF"/>
        <w:spacing w:before="0" w:beforeAutospacing="0"/>
        <w:rPr>
          <w:rFonts w:asciiTheme="minorHAnsi" w:hAnsiTheme="minorHAnsi" w:cs="Segoe UI"/>
          <w:color w:val="212529"/>
          <w:sz w:val="22"/>
          <w:szCs w:val="22"/>
        </w:rPr>
      </w:pPr>
      <w:r w:rsidRPr="001F4F9A">
        <w:rPr>
          <w:rFonts w:asciiTheme="minorHAnsi" w:hAnsiTheme="minorHAnsi" w:cs="Segoe UI"/>
          <w:color w:val="212529"/>
          <w:sz w:val="22"/>
          <w:szCs w:val="22"/>
        </w:rPr>
        <w:t>La cessation de l'annonce publicitaire peut être ordonnée par le juge d'instruction ou par le tribunal saisi des poursuites</w:t>
      </w:r>
      <w:r>
        <w:rPr>
          <w:rFonts w:asciiTheme="minorHAnsi" w:hAnsiTheme="minorHAnsi" w:cs="Segoe UI"/>
          <w:color w:val="212529"/>
          <w:sz w:val="22"/>
          <w:szCs w:val="22"/>
        </w:rPr>
        <w:t>.</w:t>
      </w:r>
    </w:p>
    <w:p w:rsidR="00F229C3" w:rsidRDefault="00F229C3"/>
    <w:sectPr w:rsidR="00F229C3" w:rsidSect="00CE1662">
      <w:footerReference w:type="default" r:id="rId16"/>
      <w:pgSz w:w="11906" w:h="16838"/>
      <w:pgMar w:top="1021" w:right="1418"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41E" w:rsidRDefault="009F441E" w:rsidP="00CE1662">
      <w:pPr>
        <w:spacing w:after="0" w:line="240" w:lineRule="auto"/>
      </w:pPr>
      <w:r>
        <w:separator/>
      </w:r>
    </w:p>
  </w:endnote>
  <w:endnote w:type="continuationSeparator" w:id="0">
    <w:p w:rsidR="009F441E" w:rsidRDefault="009F441E" w:rsidP="00CE1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27175"/>
      <w:docPartObj>
        <w:docPartGallery w:val="Page Numbers (Bottom of Page)"/>
        <w:docPartUnique/>
      </w:docPartObj>
    </w:sdtPr>
    <w:sdtContent>
      <w:p w:rsidR="00CE1662" w:rsidRDefault="00613172">
        <w:pPr>
          <w:pStyle w:val="Pieddepage"/>
          <w:jc w:val="right"/>
        </w:pPr>
        <w:fldSimple w:instr=" PAGE   \* MERGEFORMAT ">
          <w:r w:rsidR="00A45C1F">
            <w:rPr>
              <w:noProof/>
            </w:rPr>
            <w:t>4</w:t>
          </w:r>
        </w:fldSimple>
      </w:p>
    </w:sdtContent>
  </w:sdt>
  <w:p w:rsidR="00CE1662" w:rsidRDefault="00CE16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41E" w:rsidRDefault="009F441E" w:rsidP="00CE1662">
      <w:pPr>
        <w:spacing w:after="0" w:line="240" w:lineRule="auto"/>
      </w:pPr>
      <w:r>
        <w:separator/>
      </w:r>
    </w:p>
  </w:footnote>
  <w:footnote w:type="continuationSeparator" w:id="0">
    <w:p w:rsidR="009F441E" w:rsidRDefault="009F441E" w:rsidP="00CE1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7B22"/>
    <w:multiLevelType w:val="multilevel"/>
    <w:tmpl w:val="F192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E1662"/>
    <w:rsid w:val="00355D65"/>
    <w:rsid w:val="00362CC1"/>
    <w:rsid w:val="003849CA"/>
    <w:rsid w:val="00613172"/>
    <w:rsid w:val="0067122E"/>
    <w:rsid w:val="008B597F"/>
    <w:rsid w:val="009F441E"/>
    <w:rsid w:val="00A45C1F"/>
    <w:rsid w:val="00CE1662"/>
    <w:rsid w:val="00D82857"/>
    <w:rsid w:val="00EB07A0"/>
    <w:rsid w:val="00F229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62"/>
  </w:style>
  <w:style w:type="paragraph" w:styleId="Titre1">
    <w:name w:val="heading 1"/>
    <w:basedOn w:val="Normal"/>
    <w:next w:val="Normal"/>
    <w:link w:val="Titre1Car"/>
    <w:uiPriority w:val="9"/>
    <w:qFormat/>
    <w:rsid w:val="00CE1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E1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166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CE166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E1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
    <w:name w:val="field"/>
    <w:basedOn w:val="Policepardfaut"/>
    <w:rsid w:val="00CE1662"/>
  </w:style>
  <w:style w:type="paragraph" w:styleId="NormalWeb">
    <w:name w:val="Normal (Web)"/>
    <w:basedOn w:val="Normal"/>
    <w:uiPriority w:val="99"/>
    <w:unhideWhenUsed/>
    <w:rsid w:val="00CE16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acer-sm">
    <w:name w:val="spacer-sm"/>
    <w:basedOn w:val="Normal"/>
    <w:rsid w:val="00CE16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E1662"/>
    <w:rPr>
      <w:color w:val="0000FF"/>
      <w:u w:val="single"/>
    </w:rPr>
  </w:style>
  <w:style w:type="paragraph" w:styleId="Textedebulles">
    <w:name w:val="Balloon Text"/>
    <w:basedOn w:val="Normal"/>
    <w:link w:val="TextedebullesCar"/>
    <w:uiPriority w:val="99"/>
    <w:semiHidden/>
    <w:unhideWhenUsed/>
    <w:rsid w:val="00CE1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1662"/>
    <w:rPr>
      <w:rFonts w:ascii="Tahoma" w:hAnsi="Tahoma" w:cs="Tahoma"/>
      <w:sz w:val="16"/>
      <w:szCs w:val="16"/>
    </w:rPr>
  </w:style>
  <w:style w:type="paragraph" w:styleId="En-tte">
    <w:name w:val="header"/>
    <w:basedOn w:val="Normal"/>
    <w:link w:val="En-tteCar"/>
    <w:uiPriority w:val="99"/>
    <w:semiHidden/>
    <w:unhideWhenUsed/>
    <w:rsid w:val="00CE16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1662"/>
  </w:style>
  <w:style w:type="paragraph" w:styleId="Pieddepage">
    <w:name w:val="footer"/>
    <w:basedOn w:val="Normal"/>
    <w:link w:val="PieddepageCar"/>
    <w:uiPriority w:val="99"/>
    <w:unhideWhenUsed/>
    <w:rsid w:val="00CE16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662"/>
  </w:style>
  <w:style w:type="character" w:styleId="Textedelespacerserv">
    <w:name w:val="Placeholder Text"/>
    <w:basedOn w:val="Policepardfaut"/>
    <w:uiPriority w:val="99"/>
    <w:semiHidden/>
    <w:rsid w:val="008B597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economie.gouv.fr/files/files/directions_services/dgccrf/documentation/fiches_pratiques/fiches/revente-a-perte.pdf"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6378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Utilisateur Windows</cp:lastModifiedBy>
  <cp:revision>2</cp:revision>
  <cp:lastPrinted>2020-03-26T13:53:00Z</cp:lastPrinted>
  <dcterms:created xsi:type="dcterms:W3CDTF">2020-03-26T14:13:00Z</dcterms:created>
  <dcterms:modified xsi:type="dcterms:W3CDTF">2020-03-26T14:13:00Z</dcterms:modified>
</cp:coreProperties>
</file>