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62B7" w14:textId="0AEC0BD1" w:rsidR="00BD6B77" w:rsidRPr="00697204" w:rsidRDefault="006A1179">
      <w:pPr>
        <w:rPr>
          <w:rFonts w:ascii="Verdana" w:hAnsi="Verdana"/>
          <w:b/>
          <w:bCs/>
          <w:sz w:val="28"/>
          <w:szCs w:val="28"/>
          <w:u w:val="single"/>
        </w:rPr>
      </w:pPr>
      <w:r w:rsidRPr="00697204">
        <w:rPr>
          <w:rFonts w:ascii="Verdana" w:hAnsi="Verdana"/>
          <w:b/>
          <w:bCs/>
          <w:sz w:val="28"/>
          <w:szCs w:val="28"/>
          <w:u w:val="single"/>
        </w:rPr>
        <w:t>Géographie-sujet d’étude 2 : une circulation croissante et diverse des personnels à l’échelle mondiale</w:t>
      </w:r>
    </w:p>
    <w:p w14:paraId="1C8DFBF0" w14:textId="49CA9BDA" w:rsidR="006A1179" w:rsidRDefault="00697204">
      <w:r>
        <w:t>Objectifs : Définir les types de migrations dans le monde ?</w:t>
      </w:r>
    </w:p>
    <w:p w14:paraId="395A4F1A" w14:textId="4CC6D420" w:rsidR="006A1179" w:rsidRPr="006A1179" w:rsidRDefault="006A1179">
      <w:pPr>
        <w:rPr>
          <w:b/>
          <w:bCs/>
          <w:u w:val="single"/>
        </w:rPr>
      </w:pPr>
      <w:r w:rsidRPr="006A1179">
        <w:rPr>
          <w:b/>
          <w:bCs/>
          <w:u w:val="single"/>
        </w:rPr>
        <w:t>Introduction (activité1)</w:t>
      </w:r>
    </w:p>
    <w:p w14:paraId="02C4A26D" w14:textId="47F298FE" w:rsidR="006A1179" w:rsidRDefault="006A1179" w:rsidP="006A1179">
      <w:pPr>
        <w:pStyle w:val="Paragraphedeliste"/>
        <w:numPr>
          <w:ilvl w:val="0"/>
          <w:numId w:val="1"/>
        </w:numPr>
      </w:pPr>
      <w:r>
        <w:t xml:space="preserve">Regarder </w:t>
      </w:r>
      <w:r w:rsidRPr="00697204">
        <w:rPr>
          <w:b/>
          <w:bCs/>
          <w:u w:val="single"/>
        </w:rPr>
        <w:t>les 3 premières minutes de la série Eden</w:t>
      </w:r>
      <w:r>
        <w:t xml:space="preserve"> (épisode</w:t>
      </w:r>
      <w:r w:rsidR="00697204">
        <w:t>1) au</w:t>
      </w:r>
      <w:r>
        <w:t xml:space="preserve"> lien suivant (Ce n’est pas en Français mais vous comprendrez l’essentiel)</w:t>
      </w:r>
    </w:p>
    <w:p w14:paraId="3E0C4CB4" w14:textId="06D7AA6B" w:rsidR="006A1179" w:rsidRDefault="006A1179" w:rsidP="00697204">
      <w:pPr>
        <w:pStyle w:val="Paragraphedeliste"/>
        <w:jc w:val="center"/>
      </w:pPr>
      <w:r>
        <w:rPr>
          <w:noProof/>
        </w:rPr>
        <w:drawing>
          <wp:inline distT="0" distB="0" distL="0" distR="0" wp14:anchorId="463ABFA5" wp14:editId="5547C0FC">
            <wp:extent cx="4572000" cy="3429000"/>
            <wp:effectExtent l="0" t="0" r="0" b="0"/>
            <wp:docPr id="2" name="Vidéo 2" descr="Eden 1 - Ø¬ÙØ© Ø¹Ø¯Ù Ø§ÙØ­ÙÙØ©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éo 2" descr="Eden 1 - Ø¬ÙØ© Ø¹Ø¯Ù Ø§ÙØ­ÙÙØ© 1">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5TAD86mg3GQ?start=41&amp;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1DC80A5F" w14:textId="38C645BC" w:rsidR="006A1179" w:rsidRPr="00697204" w:rsidRDefault="006A1179" w:rsidP="006A1179">
      <w:pPr>
        <w:pStyle w:val="Paragraphedeliste"/>
        <w:rPr>
          <w:sz w:val="20"/>
          <w:szCs w:val="20"/>
        </w:rPr>
      </w:pPr>
    </w:p>
    <w:p w14:paraId="53C86EB1" w14:textId="0EC21D01" w:rsidR="006A1179" w:rsidRDefault="006A1179" w:rsidP="006A1179">
      <w:pPr>
        <w:rPr>
          <w:sz w:val="20"/>
          <w:szCs w:val="20"/>
        </w:rPr>
      </w:pPr>
      <w:r w:rsidRPr="00697204">
        <w:rPr>
          <w:sz w:val="20"/>
          <w:szCs w:val="20"/>
        </w:rPr>
        <w:t xml:space="preserve">Lien internet : </w:t>
      </w:r>
      <w:hyperlink r:id="rId7" w:history="1">
        <w:r w:rsidR="00697204" w:rsidRPr="00E0540B">
          <w:rPr>
            <w:rStyle w:val="Lienhypertexte"/>
            <w:sz w:val="20"/>
            <w:szCs w:val="20"/>
          </w:rPr>
          <w:t>https://www.youtube.com/watch?v=5TAD86mg3GQ&amp;t=41s</w:t>
        </w:r>
      </w:hyperlink>
    </w:p>
    <w:p w14:paraId="46B20A74" w14:textId="41B20900" w:rsidR="00697204" w:rsidRPr="00697204" w:rsidRDefault="00697204" w:rsidP="006A1179">
      <w:pPr>
        <w:rPr>
          <w:b/>
          <w:bCs/>
          <w:sz w:val="28"/>
          <w:szCs w:val="28"/>
          <w:u w:val="single"/>
        </w:rPr>
      </w:pPr>
      <w:r w:rsidRPr="00697204">
        <w:rPr>
          <w:b/>
          <w:bCs/>
          <w:sz w:val="28"/>
          <w:szCs w:val="28"/>
          <w:u w:val="single"/>
        </w:rPr>
        <w:t>Document 1 : extrait du journal Le Monde, 2 mai 2019</w:t>
      </w:r>
    </w:p>
    <w:p w14:paraId="61863D66" w14:textId="74C697AC" w:rsidR="006A1179" w:rsidRPr="006A1179" w:rsidRDefault="00697204" w:rsidP="006A1179">
      <w:pPr>
        <w:pStyle w:val="Paragraphedeliste"/>
        <w:rPr>
          <w:sz w:val="18"/>
          <w:szCs w:val="18"/>
        </w:rPr>
      </w:pPr>
      <w:r>
        <w:rPr>
          <w:noProof/>
        </w:rPr>
        <mc:AlternateContent>
          <mc:Choice Requires="wps">
            <w:drawing>
              <wp:anchor distT="0" distB="0" distL="114300" distR="114300" simplePos="0" relativeHeight="251659264" behindDoc="0" locked="0" layoutInCell="1" allowOverlap="1" wp14:anchorId="58BFDD51" wp14:editId="60C4DDD9">
                <wp:simplePos x="0" y="0"/>
                <wp:positionH relativeFrom="column">
                  <wp:posOffset>161925</wp:posOffset>
                </wp:positionH>
                <wp:positionV relativeFrom="paragraph">
                  <wp:posOffset>19686</wp:posOffset>
                </wp:positionV>
                <wp:extent cx="6496050" cy="38290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496050" cy="3829050"/>
                        </a:xfrm>
                        <a:prstGeom prst="rect">
                          <a:avLst/>
                        </a:prstGeom>
                        <a:solidFill>
                          <a:schemeClr val="lt1"/>
                        </a:solidFill>
                        <a:ln w="6350">
                          <a:solidFill>
                            <a:prstClr val="black"/>
                          </a:solidFill>
                        </a:ln>
                      </wps:spPr>
                      <wps:txbx>
                        <w:txbxContent>
                          <w:p w14:paraId="2E00D34C" w14:textId="554494CD" w:rsidR="006A1179" w:rsidRDefault="006A1179">
                            <w:r>
                              <w:rPr>
                                <w:noProof/>
                              </w:rPr>
                              <w:drawing>
                                <wp:inline distT="0" distB="0" distL="0" distR="0" wp14:anchorId="57E36019" wp14:editId="77BC18A2">
                                  <wp:extent cx="6467475" cy="3916045"/>
                                  <wp:effectExtent l="0" t="0" r="952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3916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FDD51" id="_x0000_t202" coordsize="21600,21600" o:spt="202" path="m,l,21600r21600,l21600,xe">
                <v:stroke joinstyle="miter"/>
                <v:path gradientshapeok="t" o:connecttype="rect"/>
              </v:shapetype>
              <v:shape id="Zone de texte 1" o:spid="_x0000_s1026" type="#_x0000_t202" style="position:absolute;left:0;text-align:left;margin-left:12.75pt;margin-top:1.55pt;width:511.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" fillcolor="white [3201]" strokeweight=".5pt">
                <v:textbox>
                  <w:txbxContent>
                    <w:p w14:paraId="2E00D34C" w14:textId="554494CD" w:rsidR="006A1179" w:rsidRDefault="006A1179">
                      <w:r>
                        <w:rPr>
                          <w:noProof/>
                        </w:rPr>
                        <w:drawing>
                          <wp:inline distT="0" distB="0" distL="0" distR="0" wp14:anchorId="57E36019" wp14:editId="77BC18A2">
                            <wp:extent cx="6467475" cy="3916045"/>
                            <wp:effectExtent l="0" t="0" r="952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3916045"/>
                                    </a:xfrm>
                                    <a:prstGeom prst="rect">
                                      <a:avLst/>
                                    </a:prstGeom>
                                    <a:noFill/>
                                    <a:ln>
                                      <a:noFill/>
                                    </a:ln>
                                  </pic:spPr>
                                </pic:pic>
                              </a:graphicData>
                            </a:graphic>
                          </wp:inline>
                        </w:drawing>
                      </w:r>
                    </w:p>
                  </w:txbxContent>
                </v:textbox>
              </v:shape>
            </w:pict>
          </mc:Fallback>
        </mc:AlternateContent>
      </w:r>
    </w:p>
    <w:p w14:paraId="706C3EF2" w14:textId="30D4F4F8" w:rsidR="006A1179" w:rsidRPr="00697204" w:rsidRDefault="006A1179" w:rsidP="006A1179">
      <w:pPr>
        <w:pStyle w:val="Paragraphedeliste"/>
        <w:numPr>
          <w:ilvl w:val="0"/>
          <w:numId w:val="1"/>
        </w:numPr>
        <w:rPr>
          <w:rFonts w:ascii="Verdana" w:hAnsi="Verdana"/>
          <w:sz w:val="24"/>
          <w:szCs w:val="24"/>
        </w:rPr>
      </w:pPr>
      <w:r w:rsidRPr="00697204">
        <w:rPr>
          <w:rFonts w:ascii="Verdana" w:hAnsi="Verdana"/>
          <w:sz w:val="24"/>
          <w:szCs w:val="24"/>
        </w:rPr>
        <w:t>Lire ensuite l’article suivant qui élabore une critique de cette série</w:t>
      </w:r>
    </w:p>
    <w:p w14:paraId="32CA5AD2" w14:textId="34804504" w:rsidR="006A1179" w:rsidRDefault="006A1179" w:rsidP="006A1179">
      <w:pPr>
        <w:ind w:left="360"/>
      </w:pPr>
    </w:p>
    <w:p w14:paraId="2DE9179A" w14:textId="1688AC70" w:rsidR="006A1179" w:rsidRDefault="006A1179"/>
    <w:p w14:paraId="46505C1F" w14:textId="13EAE15D" w:rsidR="006A1179" w:rsidRDefault="006A1179"/>
    <w:p w14:paraId="34D466EE" w14:textId="77777777" w:rsidR="006A1179" w:rsidRDefault="006A1179"/>
    <w:p w14:paraId="10FB3764" w14:textId="1088A56A" w:rsidR="006A1179" w:rsidRDefault="006A1179"/>
    <w:p w14:paraId="653E7BD1" w14:textId="77777777" w:rsidR="006A1179" w:rsidRDefault="006A1179"/>
    <w:p w14:paraId="1DCF4A91" w14:textId="346C6356" w:rsidR="006A1179" w:rsidRDefault="006A1179"/>
    <w:p w14:paraId="3D2B98BC" w14:textId="4C8F2A81" w:rsidR="006A1179" w:rsidRDefault="006A1179"/>
    <w:p w14:paraId="2B5E7846" w14:textId="7B7FADF6" w:rsidR="006A1179" w:rsidRDefault="006A1179"/>
    <w:p w14:paraId="6C41B84A" w14:textId="3047EDE3" w:rsidR="00697204" w:rsidRPr="00697204" w:rsidRDefault="00697204" w:rsidP="00697204"/>
    <w:p w14:paraId="527DF2CF" w14:textId="44D8C4C4" w:rsidR="00697204" w:rsidRDefault="00697204" w:rsidP="00697204"/>
    <w:p w14:paraId="4B017DAD" w14:textId="133F33F6" w:rsidR="00697204" w:rsidRDefault="00697204" w:rsidP="00697204">
      <w:pPr>
        <w:jc w:val="right"/>
      </w:pPr>
    </w:p>
    <w:p w14:paraId="7AB91D3C" w14:textId="2AA381D5" w:rsidR="00697204" w:rsidRDefault="00697204" w:rsidP="00697204">
      <w:pPr>
        <w:jc w:val="right"/>
      </w:pPr>
    </w:p>
    <w:p w14:paraId="614B55A9" w14:textId="5D6C5B13" w:rsidR="00697204" w:rsidRPr="00697204" w:rsidRDefault="00344CCF" w:rsidP="00697204">
      <w:pPr>
        <w:rPr>
          <w:rFonts w:ascii="Verdana" w:hAnsi="Verdana"/>
          <w:sz w:val="28"/>
          <w:szCs w:val="28"/>
        </w:rPr>
      </w:pPr>
      <w:r>
        <w:rPr>
          <w:rFonts w:ascii="Verdana" w:hAnsi="Verdana"/>
          <w:sz w:val="28"/>
          <w:szCs w:val="28"/>
        </w:rPr>
        <w:t>CORRECTION Activité 1</w:t>
      </w:r>
    </w:p>
    <w:p w14:paraId="4E362CB9" w14:textId="36D8310F" w:rsidR="00697204" w:rsidRDefault="00697204" w:rsidP="00697204">
      <w:pPr>
        <w:pStyle w:val="Paragraphedeliste"/>
        <w:numPr>
          <w:ilvl w:val="0"/>
          <w:numId w:val="2"/>
        </w:numPr>
        <w:rPr>
          <w:rFonts w:ascii="Verdana" w:hAnsi="Verdana"/>
          <w:sz w:val="28"/>
          <w:szCs w:val="28"/>
        </w:rPr>
      </w:pPr>
      <w:r w:rsidRPr="00697204">
        <w:rPr>
          <w:rFonts w:ascii="Verdana" w:hAnsi="Verdana"/>
          <w:sz w:val="28"/>
          <w:szCs w:val="28"/>
        </w:rPr>
        <w:t>Quel est l’objectif de ce texte ?</w:t>
      </w:r>
    </w:p>
    <w:p w14:paraId="1EDEE1DF" w14:textId="1EF9F5EE" w:rsidR="00EF7FF2" w:rsidRPr="00344CCF" w:rsidRDefault="00EF7FF2" w:rsidP="00EF7FF2">
      <w:pPr>
        <w:ind w:left="360"/>
        <w:rPr>
          <w:rFonts w:ascii="Verdana" w:hAnsi="Verdana"/>
          <w:color w:val="FF0000"/>
          <w:sz w:val="28"/>
          <w:szCs w:val="28"/>
        </w:rPr>
      </w:pPr>
      <w:r w:rsidRPr="00344CCF">
        <w:rPr>
          <w:rFonts w:ascii="Verdana" w:hAnsi="Verdana"/>
          <w:color w:val="FF0000"/>
          <w:sz w:val="28"/>
          <w:szCs w:val="28"/>
        </w:rPr>
        <w:t>Ce texte a pour objectif de nous présenter cette nouvelle série télévisée et de nous expliquer le contexte de cette série : les migrations internationales. De plus, il attise notre curiosité et peut nous donner envie de la regarder.</w:t>
      </w:r>
    </w:p>
    <w:p w14:paraId="42EC1351" w14:textId="765C5D83" w:rsidR="00697204" w:rsidRDefault="00697204" w:rsidP="00697204">
      <w:pPr>
        <w:pStyle w:val="Paragraphedeliste"/>
        <w:numPr>
          <w:ilvl w:val="0"/>
          <w:numId w:val="2"/>
        </w:numPr>
        <w:rPr>
          <w:rFonts w:ascii="Verdana" w:hAnsi="Verdana"/>
          <w:sz w:val="28"/>
          <w:szCs w:val="28"/>
        </w:rPr>
      </w:pPr>
      <w:r w:rsidRPr="00697204">
        <w:rPr>
          <w:rFonts w:ascii="Verdana" w:hAnsi="Verdana"/>
          <w:sz w:val="28"/>
          <w:szCs w:val="28"/>
        </w:rPr>
        <w:t>Quels sont les « deux mondes destinés à ne jamais se côtoyer » dans l’extrait de la série ?</w:t>
      </w:r>
    </w:p>
    <w:p w14:paraId="507C5151" w14:textId="045357FE" w:rsidR="00EF7FF2" w:rsidRDefault="00EF7FF2" w:rsidP="00EF7FF2">
      <w:pPr>
        <w:ind w:left="360"/>
        <w:rPr>
          <w:rFonts w:ascii="Verdana" w:hAnsi="Verdana"/>
          <w:color w:val="FF0000"/>
          <w:sz w:val="28"/>
          <w:szCs w:val="28"/>
        </w:rPr>
      </w:pPr>
      <w:r w:rsidRPr="00344CCF">
        <w:rPr>
          <w:rFonts w:ascii="Verdana" w:hAnsi="Verdana"/>
          <w:color w:val="FF0000"/>
          <w:sz w:val="28"/>
          <w:szCs w:val="28"/>
        </w:rPr>
        <w:t>Les deux mondes sont effectivement très différents. D’un côté, on a des touristes venues de pays riches qui se reposent sur une plage de Grèce pour leur plaisir et de l’autre, on voit des migrants ayant fui la guerre ou la pauvreté et qui arrivent en bateau pneumatique épuisés.</w:t>
      </w:r>
    </w:p>
    <w:p w14:paraId="0C635DEE" w14:textId="6CC2E3FB" w:rsidR="0077210E" w:rsidRPr="0077210E" w:rsidRDefault="0077210E" w:rsidP="00EF7FF2">
      <w:pPr>
        <w:ind w:left="360"/>
        <w:rPr>
          <w:rFonts w:ascii="Verdana" w:hAnsi="Verdana"/>
          <w:b/>
          <w:bCs/>
          <w:color w:val="FF0000"/>
          <w:sz w:val="28"/>
          <w:szCs w:val="28"/>
          <w:u w:val="single"/>
        </w:rPr>
      </w:pPr>
      <w:r>
        <w:rPr>
          <w:rFonts w:ascii="Verdana" w:hAnsi="Verdana"/>
          <w:color w:val="FF0000"/>
          <w:sz w:val="28"/>
          <w:szCs w:val="28"/>
        </w:rPr>
        <w:t xml:space="preserve">Il est important de voir qu’il existe donc </w:t>
      </w:r>
      <w:r w:rsidRPr="0077210E">
        <w:rPr>
          <w:rFonts w:ascii="Verdana" w:hAnsi="Verdana"/>
          <w:b/>
          <w:bCs/>
          <w:color w:val="FF0000"/>
          <w:sz w:val="28"/>
          <w:szCs w:val="28"/>
          <w:u w:val="single"/>
        </w:rPr>
        <w:t>des migrations volontaires</w:t>
      </w:r>
      <w:r>
        <w:rPr>
          <w:rFonts w:ascii="Verdana" w:hAnsi="Verdana"/>
          <w:color w:val="FF0000"/>
          <w:sz w:val="28"/>
          <w:szCs w:val="28"/>
        </w:rPr>
        <w:t xml:space="preserve"> (Touristes) et </w:t>
      </w:r>
      <w:r w:rsidRPr="0077210E">
        <w:rPr>
          <w:rFonts w:ascii="Verdana" w:hAnsi="Verdana"/>
          <w:b/>
          <w:bCs/>
          <w:color w:val="FF0000"/>
          <w:sz w:val="28"/>
          <w:szCs w:val="28"/>
          <w:u w:val="single"/>
        </w:rPr>
        <w:t>des migrations contraintes légales ou illégales. (Migrants)</w:t>
      </w:r>
    </w:p>
    <w:p w14:paraId="29F4C3BA" w14:textId="25D0FDC5" w:rsidR="00697204" w:rsidRDefault="00697204" w:rsidP="00697204">
      <w:pPr>
        <w:pStyle w:val="Paragraphedeliste"/>
        <w:numPr>
          <w:ilvl w:val="0"/>
          <w:numId w:val="2"/>
        </w:numPr>
        <w:rPr>
          <w:rFonts w:ascii="Verdana" w:hAnsi="Verdana"/>
          <w:sz w:val="28"/>
          <w:szCs w:val="28"/>
        </w:rPr>
      </w:pPr>
      <w:r w:rsidRPr="00697204">
        <w:rPr>
          <w:rFonts w:ascii="Verdana" w:hAnsi="Verdana"/>
          <w:sz w:val="28"/>
          <w:szCs w:val="28"/>
        </w:rPr>
        <w:t>Soulignez les lieux du texte ?</w:t>
      </w:r>
    </w:p>
    <w:p w14:paraId="5DA43EE3" w14:textId="49C04638" w:rsidR="00EF7FF2" w:rsidRPr="00344CCF" w:rsidRDefault="00EF7FF2" w:rsidP="00EF7FF2">
      <w:pPr>
        <w:ind w:left="360"/>
        <w:rPr>
          <w:rFonts w:ascii="Verdana" w:hAnsi="Verdana"/>
          <w:color w:val="FF0000"/>
          <w:sz w:val="28"/>
          <w:szCs w:val="28"/>
        </w:rPr>
      </w:pPr>
      <w:r w:rsidRPr="00344CCF">
        <w:rPr>
          <w:rFonts w:ascii="Verdana" w:hAnsi="Verdana"/>
          <w:color w:val="FF0000"/>
          <w:sz w:val="28"/>
          <w:szCs w:val="28"/>
        </w:rPr>
        <w:t>Les lieux sont nombreux, montrant que l’échelle de cette question est internationale. Il y a d’abord le lieu imaginaire qui donne son nom à la série : l’Eden. Et puis, il y a aussi : « ile grecque de Chios », « Europe », « Athènes », « </w:t>
      </w:r>
      <w:proofErr w:type="spellStart"/>
      <w:r w:rsidRPr="00344CCF">
        <w:rPr>
          <w:rFonts w:ascii="Verdana" w:hAnsi="Verdana"/>
          <w:color w:val="FF0000"/>
          <w:sz w:val="28"/>
          <w:szCs w:val="28"/>
        </w:rPr>
        <w:t>Mannhiem</w:t>
      </w:r>
      <w:proofErr w:type="spellEnd"/>
      <w:r w:rsidRPr="00344CCF">
        <w:rPr>
          <w:rFonts w:ascii="Verdana" w:hAnsi="Verdana"/>
          <w:color w:val="FF0000"/>
          <w:sz w:val="28"/>
          <w:szCs w:val="28"/>
        </w:rPr>
        <w:t xml:space="preserve"> » (Allemagne ), « Bruxelles », </w:t>
      </w:r>
      <w:r w:rsidR="00344CCF" w:rsidRPr="00344CCF">
        <w:rPr>
          <w:rFonts w:ascii="Verdana" w:hAnsi="Verdana"/>
          <w:color w:val="FF0000"/>
          <w:sz w:val="28"/>
          <w:szCs w:val="28"/>
        </w:rPr>
        <w:t>« Paris »,</w:t>
      </w:r>
      <w:r w:rsidRPr="00344CCF">
        <w:rPr>
          <w:rFonts w:ascii="Verdana" w:hAnsi="Verdana"/>
          <w:color w:val="FF0000"/>
          <w:sz w:val="28"/>
          <w:szCs w:val="28"/>
        </w:rPr>
        <w:t>« la ville syrienne d’Afrin », « les Balkans », « </w:t>
      </w:r>
      <w:r w:rsidR="00344CCF" w:rsidRPr="00344CCF">
        <w:rPr>
          <w:rFonts w:ascii="Verdana" w:hAnsi="Verdana"/>
          <w:color w:val="FF0000"/>
          <w:sz w:val="28"/>
          <w:szCs w:val="28"/>
        </w:rPr>
        <w:t>Munich »</w:t>
      </w:r>
    </w:p>
    <w:p w14:paraId="0559DF72" w14:textId="7052BEEA" w:rsidR="00697204" w:rsidRDefault="00697204" w:rsidP="00697204">
      <w:pPr>
        <w:pStyle w:val="Paragraphedeliste"/>
        <w:numPr>
          <w:ilvl w:val="0"/>
          <w:numId w:val="2"/>
        </w:numPr>
        <w:rPr>
          <w:rFonts w:ascii="Verdana" w:hAnsi="Verdana"/>
          <w:sz w:val="28"/>
          <w:szCs w:val="28"/>
        </w:rPr>
      </w:pPr>
      <w:r w:rsidRPr="00697204">
        <w:rPr>
          <w:rFonts w:ascii="Verdana" w:hAnsi="Verdana"/>
          <w:sz w:val="28"/>
          <w:szCs w:val="28"/>
        </w:rPr>
        <w:t>Le sujet de la série est-il encore d’actualités aujourd’hui ? (Justifiez votre réponse)</w:t>
      </w:r>
    </w:p>
    <w:p w14:paraId="3172F86A" w14:textId="3D362E2E" w:rsidR="00344CCF" w:rsidRPr="00344CCF" w:rsidRDefault="00344CCF" w:rsidP="00344CCF">
      <w:pPr>
        <w:pStyle w:val="Paragraphedeliste"/>
        <w:rPr>
          <w:rFonts w:ascii="Verdana" w:hAnsi="Verdana"/>
          <w:color w:val="FF0000"/>
          <w:sz w:val="28"/>
          <w:szCs w:val="28"/>
        </w:rPr>
      </w:pPr>
      <w:r w:rsidRPr="00344CCF">
        <w:rPr>
          <w:rFonts w:ascii="Verdana" w:hAnsi="Verdana"/>
          <w:color w:val="FF0000"/>
          <w:sz w:val="28"/>
          <w:szCs w:val="28"/>
        </w:rPr>
        <w:t>Evidemment, les migrations internationales et la question des réfugiés et de l’accueil des réfugiés est une question géographique et politique d’actualité en Europe et dans le monde. Pour cela, la scène d’introduction de la série et son nom « Eden » illustre deux types de migrations bien différentes : le tourisme et les réfugiés !</w:t>
      </w:r>
    </w:p>
    <w:sectPr w:rsidR="00344CCF" w:rsidRPr="00344CCF" w:rsidSect="006A1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7C4B"/>
    <w:multiLevelType w:val="hybridMultilevel"/>
    <w:tmpl w:val="9A3A3A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9E03D1"/>
    <w:multiLevelType w:val="hybridMultilevel"/>
    <w:tmpl w:val="5734E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79"/>
    <w:rsid w:val="00344CCF"/>
    <w:rsid w:val="00697204"/>
    <w:rsid w:val="006A1179"/>
    <w:rsid w:val="0077210E"/>
    <w:rsid w:val="00BD6B77"/>
    <w:rsid w:val="00EF7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5E60"/>
  <w15:chartTrackingRefBased/>
  <w15:docId w15:val="{AC00976B-6B72-4CB2-8D65-6B9DBECE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179"/>
    <w:pPr>
      <w:ind w:left="720"/>
      <w:contextualSpacing/>
    </w:pPr>
  </w:style>
  <w:style w:type="character" w:styleId="Lienhypertexte">
    <w:name w:val="Hyperlink"/>
    <w:basedOn w:val="Policepardfaut"/>
    <w:uiPriority w:val="99"/>
    <w:unhideWhenUsed/>
    <w:rsid w:val="00697204"/>
    <w:rPr>
      <w:color w:val="0563C1" w:themeColor="hyperlink"/>
      <w:u w:val="single"/>
    </w:rPr>
  </w:style>
  <w:style w:type="character" w:styleId="Mentionnonrsolue">
    <w:name w:val="Unresolved Mention"/>
    <w:basedOn w:val="Policepardfaut"/>
    <w:uiPriority w:val="99"/>
    <w:semiHidden/>
    <w:unhideWhenUsed/>
    <w:rsid w:val="00697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5TAD86mg3GQ&amp;t=4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embed/5TAD86mg3GQ?start=41&amp;feature=oemb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3</cp:revision>
  <dcterms:created xsi:type="dcterms:W3CDTF">2020-06-02T08:23:00Z</dcterms:created>
  <dcterms:modified xsi:type="dcterms:W3CDTF">2020-06-14T16:06:00Z</dcterms:modified>
</cp:coreProperties>
</file>